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1EFED" w14:textId="322B0B41" w:rsidR="00730D8A" w:rsidRPr="00EA2B31" w:rsidRDefault="000E4049" w:rsidP="0070721F">
      <w:pPr>
        <w:jc w:val="center"/>
        <w:rPr>
          <w:b/>
          <w:sz w:val="28"/>
          <w:szCs w:val="28"/>
          <w:lang w:val="it-IT"/>
        </w:rPr>
      </w:pPr>
      <w:bookmarkStart w:id="0" w:name="_GoBack"/>
      <w:bookmarkEnd w:id="0"/>
      <w:r w:rsidRPr="00EA2B31">
        <w:rPr>
          <w:b/>
          <w:sz w:val="28"/>
          <w:szCs w:val="28"/>
          <w:lang w:val="it-IT"/>
        </w:rPr>
        <w:t>Nasce</w:t>
      </w:r>
      <w:r w:rsidR="006A757B" w:rsidRPr="00EA2B31">
        <w:rPr>
          <w:b/>
          <w:sz w:val="28"/>
          <w:szCs w:val="28"/>
          <w:lang w:val="it-IT"/>
        </w:rPr>
        <w:t xml:space="preserve"> a</w:t>
      </w:r>
      <w:r w:rsidR="00DF09AC" w:rsidRPr="00EA2B31">
        <w:rPr>
          <w:b/>
          <w:sz w:val="28"/>
          <w:szCs w:val="28"/>
          <w:lang w:val="it-IT"/>
        </w:rPr>
        <w:t xml:space="preserve"> </w:t>
      </w:r>
      <w:r w:rsidR="006A757B" w:rsidRPr="00EA2B31">
        <w:rPr>
          <w:b/>
          <w:sz w:val="28"/>
          <w:szCs w:val="28"/>
          <w:lang w:val="it-IT"/>
        </w:rPr>
        <w:t>Torino</w:t>
      </w:r>
      <w:r w:rsidRPr="00EA2B31">
        <w:rPr>
          <w:b/>
          <w:sz w:val="28"/>
          <w:szCs w:val="28"/>
          <w:lang w:val="it-IT"/>
        </w:rPr>
        <w:t xml:space="preserve"> </w:t>
      </w:r>
      <w:r w:rsidR="00DF09AC" w:rsidRPr="00EA2B31">
        <w:rPr>
          <w:b/>
          <w:sz w:val="28"/>
          <w:szCs w:val="28"/>
          <w:lang w:val="it-IT"/>
        </w:rPr>
        <w:t xml:space="preserve">l’acceleratore </w:t>
      </w:r>
      <w:r w:rsidRPr="00EA2B31">
        <w:rPr>
          <w:b/>
          <w:sz w:val="28"/>
          <w:szCs w:val="28"/>
          <w:lang w:val="it-IT"/>
        </w:rPr>
        <w:t>Takeoff</w:t>
      </w:r>
      <w:r w:rsidR="00DF09AC" w:rsidRPr="00EA2B31">
        <w:rPr>
          <w:b/>
          <w:sz w:val="28"/>
          <w:szCs w:val="28"/>
          <w:lang w:val="it-IT"/>
        </w:rPr>
        <w:t xml:space="preserve">: </w:t>
      </w:r>
      <w:r w:rsidR="00B70682" w:rsidRPr="00EA2B31">
        <w:rPr>
          <w:b/>
          <w:sz w:val="28"/>
          <w:szCs w:val="28"/>
          <w:lang w:val="it-IT"/>
        </w:rPr>
        <w:t xml:space="preserve">oltre </w:t>
      </w:r>
      <w:r w:rsidR="00DF09AC" w:rsidRPr="00EA2B31">
        <w:rPr>
          <w:b/>
          <w:sz w:val="28"/>
          <w:szCs w:val="28"/>
          <w:lang w:val="it-IT"/>
        </w:rPr>
        <w:t>2</w:t>
      </w:r>
      <w:r w:rsidR="00A748FB" w:rsidRPr="00EA2B31">
        <w:rPr>
          <w:b/>
          <w:sz w:val="28"/>
          <w:szCs w:val="28"/>
          <w:lang w:val="it-IT"/>
        </w:rPr>
        <w:t>1</w:t>
      </w:r>
      <w:r w:rsidR="00DF09AC" w:rsidRPr="00EA2B31">
        <w:rPr>
          <w:b/>
          <w:sz w:val="28"/>
          <w:szCs w:val="28"/>
          <w:lang w:val="it-IT"/>
        </w:rPr>
        <w:t xml:space="preserve"> milioni di investimenti</w:t>
      </w:r>
    </w:p>
    <w:p w14:paraId="2576081A" w14:textId="6F04F0C1" w:rsidR="00A5565E" w:rsidRPr="00EA2B31" w:rsidRDefault="005D7A0E" w:rsidP="00A5565E">
      <w:pPr>
        <w:jc w:val="center"/>
        <w:rPr>
          <w:b/>
          <w:sz w:val="28"/>
          <w:szCs w:val="28"/>
          <w:lang w:val="it-IT"/>
        </w:rPr>
      </w:pPr>
      <w:r w:rsidRPr="00EA2B31">
        <w:rPr>
          <w:b/>
          <w:sz w:val="28"/>
          <w:szCs w:val="28"/>
          <w:lang w:val="it-IT"/>
        </w:rPr>
        <w:t>per l’</w:t>
      </w:r>
      <w:r w:rsidR="000E4049" w:rsidRPr="00EA2B31">
        <w:rPr>
          <w:b/>
          <w:sz w:val="28"/>
          <w:szCs w:val="28"/>
          <w:lang w:val="it-IT"/>
        </w:rPr>
        <w:t xml:space="preserve">aerospazio e </w:t>
      </w:r>
      <w:proofErr w:type="spellStart"/>
      <w:r w:rsidRPr="00EA2B31">
        <w:rPr>
          <w:b/>
          <w:sz w:val="28"/>
          <w:szCs w:val="28"/>
          <w:lang w:val="it-IT"/>
        </w:rPr>
        <w:t>l’</w:t>
      </w:r>
      <w:r w:rsidR="000E4049" w:rsidRPr="00EA2B31">
        <w:rPr>
          <w:b/>
          <w:sz w:val="28"/>
          <w:szCs w:val="28"/>
          <w:lang w:val="it-IT"/>
        </w:rPr>
        <w:t>advanced</w:t>
      </w:r>
      <w:proofErr w:type="spellEnd"/>
      <w:r w:rsidR="000E4049" w:rsidRPr="00EA2B31">
        <w:rPr>
          <w:b/>
          <w:sz w:val="28"/>
          <w:szCs w:val="28"/>
          <w:lang w:val="it-IT"/>
        </w:rPr>
        <w:t xml:space="preserve"> hardware</w:t>
      </w:r>
    </w:p>
    <w:p w14:paraId="2B950A42" w14:textId="694C87C6" w:rsidR="00A5565E" w:rsidRPr="00EA2B31" w:rsidRDefault="0070721F" w:rsidP="0070721F">
      <w:pPr>
        <w:tabs>
          <w:tab w:val="left" w:pos="1530"/>
        </w:tabs>
        <w:rPr>
          <w:b/>
          <w:sz w:val="28"/>
          <w:szCs w:val="28"/>
          <w:lang w:val="it-IT"/>
        </w:rPr>
      </w:pPr>
      <w:r>
        <w:rPr>
          <w:b/>
          <w:sz w:val="28"/>
          <w:szCs w:val="28"/>
          <w:lang w:val="it-IT"/>
        </w:rPr>
        <w:tab/>
      </w:r>
    </w:p>
    <w:p w14:paraId="00000004" w14:textId="029A5F66" w:rsidR="00A35B9D" w:rsidRPr="00EA2B31" w:rsidRDefault="00DF09AC">
      <w:pPr>
        <w:spacing w:after="120"/>
        <w:jc w:val="center"/>
        <w:rPr>
          <w:b/>
          <w:lang w:val="it-IT"/>
        </w:rPr>
      </w:pPr>
      <w:r w:rsidRPr="00EA2B31">
        <w:rPr>
          <w:b/>
          <w:lang w:val="it-IT"/>
        </w:rPr>
        <w:t xml:space="preserve">Iniziativa di CDP Venture Capital, </w:t>
      </w:r>
      <w:r w:rsidR="000E4049" w:rsidRPr="00EA2B31">
        <w:rPr>
          <w:b/>
          <w:lang w:val="it-IT"/>
        </w:rPr>
        <w:t>Fondazione CRT, Uni</w:t>
      </w:r>
      <w:r w:rsidR="005E18F8" w:rsidRPr="00EA2B31">
        <w:rPr>
          <w:b/>
          <w:lang w:val="it-IT"/>
        </w:rPr>
        <w:t>C</w:t>
      </w:r>
      <w:r w:rsidR="000E4049" w:rsidRPr="00EA2B31">
        <w:rPr>
          <w:b/>
          <w:lang w:val="it-IT"/>
        </w:rPr>
        <w:t>redit</w:t>
      </w:r>
      <w:r w:rsidRPr="00EA2B31">
        <w:rPr>
          <w:b/>
          <w:lang w:val="it-IT"/>
        </w:rPr>
        <w:t xml:space="preserve"> con </w:t>
      </w:r>
      <w:r w:rsidR="000E4049" w:rsidRPr="00EA2B31">
        <w:rPr>
          <w:b/>
          <w:lang w:val="it-IT"/>
        </w:rPr>
        <w:t>Plug and Play Tech Center e OGR</w:t>
      </w:r>
      <w:r w:rsidRPr="00EA2B31">
        <w:rPr>
          <w:b/>
          <w:lang w:val="it-IT"/>
        </w:rPr>
        <w:t xml:space="preserve"> Torino</w:t>
      </w:r>
      <w:r w:rsidR="00730D8A" w:rsidRPr="00EA2B31">
        <w:rPr>
          <w:b/>
          <w:lang w:val="it-IT"/>
        </w:rPr>
        <w:t xml:space="preserve"> per accrescere la competitività del Paese</w:t>
      </w:r>
    </w:p>
    <w:p w14:paraId="69941C19" w14:textId="45EC6571" w:rsidR="000E1DDC" w:rsidRPr="00EA2B31" w:rsidRDefault="00BF29FF" w:rsidP="00EA2B31">
      <w:pPr>
        <w:spacing w:after="120"/>
        <w:jc w:val="center"/>
        <w:rPr>
          <w:b/>
          <w:lang w:val="it-IT"/>
        </w:rPr>
      </w:pPr>
      <w:r w:rsidRPr="00EA2B31">
        <w:rPr>
          <w:b/>
          <w:lang w:val="it-IT"/>
        </w:rPr>
        <w:t>Candidature al via f</w:t>
      </w:r>
      <w:r w:rsidR="006A757B" w:rsidRPr="00EA2B31">
        <w:rPr>
          <w:b/>
          <w:lang w:val="it-IT"/>
        </w:rPr>
        <w:t xml:space="preserve">ino al </w:t>
      </w:r>
      <w:r w:rsidR="00022BAD" w:rsidRPr="00EA2B31">
        <w:rPr>
          <w:b/>
          <w:lang w:val="it-IT"/>
        </w:rPr>
        <w:t>2</w:t>
      </w:r>
      <w:r w:rsidR="006A757B" w:rsidRPr="00EA2B31">
        <w:rPr>
          <w:b/>
          <w:lang w:val="it-IT"/>
        </w:rPr>
        <w:t>5 maggio</w:t>
      </w:r>
      <w:r w:rsidRPr="00EA2B31">
        <w:rPr>
          <w:b/>
          <w:lang w:val="it-IT"/>
        </w:rPr>
        <w:t xml:space="preserve"> </w:t>
      </w:r>
      <w:r w:rsidR="00426906" w:rsidRPr="00EA2B31">
        <w:rPr>
          <w:b/>
          <w:lang w:val="it-IT"/>
        </w:rPr>
        <w:t>su</w:t>
      </w:r>
      <w:hyperlink r:id="rId10">
        <w:r w:rsidR="00426906" w:rsidRPr="00EA2B31">
          <w:rPr>
            <w:b/>
            <w:lang w:val="it-IT"/>
          </w:rPr>
          <w:t xml:space="preserve"> </w:t>
        </w:r>
      </w:hyperlink>
      <w:r w:rsidR="00426906" w:rsidRPr="00EA2B31">
        <w:rPr>
          <w:b/>
          <w:color w:val="0B4CB4"/>
          <w:u w:val="single"/>
          <w:lang w:val="it-IT"/>
        </w:rPr>
        <w:t>takeoffaccelerator.com</w:t>
      </w:r>
      <w:r w:rsidRPr="00EA2B31">
        <w:rPr>
          <w:b/>
          <w:lang w:val="it-IT"/>
        </w:rPr>
        <w:t>: possono partecipare al programma startup italiane e internazionali che intendano aprire una sede legale in Italia</w:t>
      </w:r>
    </w:p>
    <w:p w14:paraId="00000006" w14:textId="77777777" w:rsidR="00A35B9D" w:rsidRPr="00EA2B31" w:rsidRDefault="00A35B9D">
      <w:pPr>
        <w:spacing w:after="120"/>
        <w:jc w:val="center"/>
        <w:rPr>
          <w:lang w:val="it-IT"/>
        </w:rPr>
      </w:pPr>
    </w:p>
    <w:p w14:paraId="4E84A5C8" w14:textId="02EA6D82" w:rsidR="00730D8A" w:rsidRPr="00EA2B31" w:rsidRDefault="000E4049" w:rsidP="00EA2B31">
      <w:pPr>
        <w:spacing w:after="120" w:line="240" w:lineRule="atLeast"/>
        <w:jc w:val="both"/>
        <w:rPr>
          <w:i/>
          <w:iCs/>
          <w:lang w:val="it-IT"/>
        </w:rPr>
      </w:pPr>
      <w:r w:rsidRPr="00EA2B31">
        <w:rPr>
          <w:b/>
          <w:lang w:val="it-IT"/>
        </w:rPr>
        <w:t xml:space="preserve">Roma, </w:t>
      </w:r>
      <w:r w:rsidR="00F031D9" w:rsidRPr="00EA2B31">
        <w:rPr>
          <w:b/>
          <w:lang w:val="it-IT"/>
        </w:rPr>
        <w:t>27</w:t>
      </w:r>
      <w:r w:rsidRPr="00EA2B31">
        <w:rPr>
          <w:b/>
          <w:lang w:val="it-IT"/>
        </w:rPr>
        <w:t xml:space="preserve"> </w:t>
      </w:r>
      <w:r w:rsidR="00F67642" w:rsidRPr="00EA2B31">
        <w:rPr>
          <w:b/>
          <w:lang w:val="it-IT"/>
        </w:rPr>
        <w:t>aprile</w:t>
      </w:r>
      <w:r w:rsidRPr="00EA2B31">
        <w:rPr>
          <w:b/>
          <w:lang w:val="it-IT"/>
        </w:rPr>
        <w:t xml:space="preserve"> 2022 – </w:t>
      </w:r>
      <w:r w:rsidRPr="00EA2B31">
        <w:rPr>
          <w:lang w:val="it-IT"/>
        </w:rPr>
        <w:t>Nasce</w:t>
      </w:r>
      <w:r w:rsidR="006A757B" w:rsidRPr="00EA2B31">
        <w:rPr>
          <w:lang w:val="it-IT"/>
        </w:rPr>
        <w:t xml:space="preserve"> a</w:t>
      </w:r>
      <w:r w:rsidR="000D22DE" w:rsidRPr="00EA2B31">
        <w:rPr>
          <w:lang w:val="it-IT"/>
        </w:rPr>
        <w:t>lle OGR</w:t>
      </w:r>
      <w:r w:rsidR="006A757B" w:rsidRPr="00EA2B31">
        <w:rPr>
          <w:lang w:val="it-IT"/>
        </w:rPr>
        <w:t xml:space="preserve"> Torino</w:t>
      </w:r>
      <w:r w:rsidRPr="00EA2B31">
        <w:rPr>
          <w:lang w:val="it-IT"/>
        </w:rPr>
        <w:t xml:space="preserve"> </w:t>
      </w:r>
      <w:r w:rsidRPr="00EA2B31">
        <w:rPr>
          <w:b/>
          <w:lang w:val="it-IT"/>
        </w:rPr>
        <w:t>Takeoff</w:t>
      </w:r>
      <w:r w:rsidRPr="00EA2B31">
        <w:rPr>
          <w:lang w:val="it-IT"/>
        </w:rPr>
        <w:t xml:space="preserve">, il programma di accelerazione dedicato a startup </w:t>
      </w:r>
      <w:r w:rsidR="00A5565E" w:rsidRPr="00EA2B31">
        <w:rPr>
          <w:lang w:val="it-IT"/>
        </w:rPr>
        <w:t>che sviluppano soluzioni e servizi</w:t>
      </w:r>
      <w:r w:rsidRPr="00EA2B31">
        <w:rPr>
          <w:lang w:val="it-IT"/>
        </w:rPr>
        <w:t xml:space="preserve"> nei settori dell’aerospazio e </w:t>
      </w:r>
      <w:proofErr w:type="spellStart"/>
      <w:r w:rsidR="001949F3" w:rsidRPr="00EA2B31">
        <w:rPr>
          <w:lang w:val="it-IT"/>
        </w:rPr>
        <w:t>dell’</w:t>
      </w:r>
      <w:r w:rsidRPr="00EA2B31">
        <w:rPr>
          <w:i/>
          <w:iCs/>
          <w:lang w:val="it-IT"/>
        </w:rPr>
        <w:t>advanced</w:t>
      </w:r>
      <w:proofErr w:type="spellEnd"/>
      <w:r w:rsidRPr="00EA2B31">
        <w:rPr>
          <w:i/>
          <w:iCs/>
          <w:lang w:val="it-IT"/>
        </w:rPr>
        <w:t xml:space="preserve"> hardware</w:t>
      </w:r>
      <w:r w:rsidR="00730D8A" w:rsidRPr="00EA2B31">
        <w:rPr>
          <w:i/>
          <w:iCs/>
          <w:lang w:val="it-IT"/>
        </w:rPr>
        <w:t xml:space="preserve">, </w:t>
      </w:r>
      <w:r w:rsidR="00730D8A" w:rsidRPr="00EA2B31">
        <w:rPr>
          <w:iCs/>
          <w:lang w:val="it-IT"/>
        </w:rPr>
        <w:t xml:space="preserve">per </w:t>
      </w:r>
      <w:r w:rsidR="00730D8A" w:rsidRPr="00EA2B31">
        <w:rPr>
          <w:lang w:val="it-IT"/>
        </w:rPr>
        <w:t>accrescere la competitività d</w:t>
      </w:r>
      <w:r w:rsidR="00A5565E" w:rsidRPr="00EA2B31">
        <w:rPr>
          <w:lang w:val="it-IT"/>
        </w:rPr>
        <w:t>i tutto il</w:t>
      </w:r>
      <w:r w:rsidR="00730D8A" w:rsidRPr="00EA2B31">
        <w:rPr>
          <w:lang w:val="it-IT"/>
        </w:rPr>
        <w:t xml:space="preserve"> Paese</w:t>
      </w:r>
      <w:r w:rsidR="007A0410" w:rsidRPr="00EA2B31">
        <w:rPr>
          <w:lang w:val="it-IT"/>
        </w:rPr>
        <w:t>,</w:t>
      </w:r>
      <w:r w:rsidR="00730D8A" w:rsidRPr="00EA2B31">
        <w:rPr>
          <w:lang w:val="it-IT"/>
        </w:rPr>
        <w:t xml:space="preserve"> </w:t>
      </w:r>
      <w:r w:rsidR="00A5565E" w:rsidRPr="00EA2B31">
        <w:rPr>
          <w:lang w:val="it-IT"/>
        </w:rPr>
        <w:t>a partire dal</w:t>
      </w:r>
      <w:r w:rsidR="00730D8A" w:rsidRPr="00EA2B31">
        <w:rPr>
          <w:lang w:val="it-IT"/>
        </w:rPr>
        <w:t xml:space="preserve">l’eccellenza accademica e imprenditoriale </w:t>
      </w:r>
      <w:r w:rsidR="00A5565E" w:rsidRPr="00EA2B31">
        <w:rPr>
          <w:lang w:val="it-IT"/>
        </w:rPr>
        <w:t>rappresentata dal</w:t>
      </w:r>
      <w:r w:rsidR="007A0410" w:rsidRPr="00EA2B31">
        <w:rPr>
          <w:lang w:val="it-IT"/>
        </w:rPr>
        <w:t xml:space="preserve"> Piemonte </w:t>
      </w:r>
      <w:r w:rsidR="00C0723B" w:rsidRPr="00EA2B31">
        <w:rPr>
          <w:lang w:val="it-IT"/>
        </w:rPr>
        <w:t xml:space="preserve">in questi </w:t>
      </w:r>
      <w:r w:rsidR="00167A81" w:rsidRPr="00EA2B31">
        <w:rPr>
          <w:lang w:val="it-IT"/>
        </w:rPr>
        <w:t>ambiti</w:t>
      </w:r>
      <w:r w:rsidR="007A0410" w:rsidRPr="00EA2B31">
        <w:rPr>
          <w:lang w:val="it-IT"/>
        </w:rPr>
        <w:t>.</w:t>
      </w:r>
    </w:p>
    <w:p w14:paraId="60C17F3E" w14:textId="1B3CD3F6" w:rsidR="000052E1" w:rsidRPr="00F45919" w:rsidRDefault="00730D8A" w:rsidP="00F45919">
      <w:pPr>
        <w:spacing w:after="120"/>
        <w:jc w:val="both"/>
        <w:rPr>
          <w:rFonts w:ascii="Bressay" w:hAnsi="Bressay" w:cs="Bressay"/>
          <w:lang w:val="it-IT"/>
        </w:rPr>
      </w:pPr>
      <w:r w:rsidRPr="00EA2B31">
        <w:rPr>
          <w:lang w:val="it-IT"/>
        </w:rPr>
        <w:t>P</w:t>
      </w:r>
      <w:r w:rsidR="000052E1" w:rsidRPr="00EA2B31">
        <w:rPr>
          <w:lang w:val="it-IT"/>
        </w:rPr>
        <w:t>arte della Rete Nazionale Acceleratori CDP</w:t>
      </w:r>
      <w:r w:rsidR="00F67642" w:rsidRPr="00EA2B31">
        <w:rPr>
          <w:lang w:val="it-IT"/>
        </w:rPr>
        <w:t xml:space="preserve">, </w:t>
      </w:r>
      <w:r w:rsidR="000052E1" w:rsidRPr="00EA2B31">
        <w:rPr>
          <w:lang w:val="it-IT"/>
        </w:rPr>
        <w:t xml:space="preserve">il </w:t>
      </w:r>
      <w:r w:rsidR="000052E1" w:rsidRPr="00EA2B31">
        <w:rPr>
          <w:i/>
          <w:iCs/>
          <w:lang w:val="it-IT"/>
        </w:rPr>
        <w:t>network</w:t>
      </w:r>
      <w:r w:rsidR="000052E1" w:rsidRPr="00EA2B31">
        <w:rPr>
          <w:lang w:val="it-IT"/>
        </w:rPr>
        <w:t xml:space="preserve"> presente su tutto il territorio </w:t>
      </w:r>
      <w:r w:rsidR="00732ED1" w:rsidRPr="00EA2B31">
        <w:rPr>
          <w:lang w:val="it-IT"/>
        </w:rPr>
        <w:t>per</w:t>
      </w:r>
      <w:r w:rsidR="000052E1" w:rsidRPr="00EA2B31">
        <w:rPr>
          <w:lang w:val="it-IT"/>
        </w:rPr>
        <w:t xml:space="preserve"> aiutare la crescita di giovani imprese specializzate nei mercati a</w:t>
      </w:r>
      <w:r w:rsidR="00732ED1" w:rsidRPr="00EA2B31">
        <w:rPr>
          <w:lang w:val="it-IT"/>
        </w:rPr>
        <w:t xml:space="preserve">d elevato </w:t>
      </w:r>
      <w:r w:rsidR="000052E1" w:rsidRPr="00EA2B31">
        <w:rPr>
          <w:lang w:val="it-IT"/>
        </w:rPr>
        <w:t>potenziale</w:t>
      </w:r>
      <w:r w:rsidRPr="00EA2B31">
        <w:rPr>
          <w:lang w:val="it-IT"/>
        </w:rPr>
        <w:t xml:space="preserve">, </w:t>
      </w:r>
      <w:r w:rsidR="000052E1" w:rsidRPr="00EA2B31">
        <w:rPr>
          <w:lang w:val="it-IT"/>
        </w:rPr>
        <w:t xml:space="preserve">Takeoff </w:t>
      </w:r>
      <w:r w:rsidR="002E2A96" w:rsidRPr="00EA2B31">
        <w:rPr>
          <w:lang w:val="it-IT"/>
        </w:rPr>
        <w:t xml:space="preserve">è </w:t>
      </w:r>
      <w:r w:rsidR="006F0F53" w:rsidRPr="00EA2B31">
        <w:rPr>
          <w:lang w:val="it-IT"/>
        </w:rPr>
        <w:t xml:space="preserve">un’iniziativa </w:t>
      </w:r>
      <w:r w:rsidRPr="00EA2B31">
        <w:rPr>
          <w:lang w:val="it-IT"/>
        </w:rPr>
        <w:t xml:space="preserve">congiunta </w:t>
      </w:r>
      <w:r w:rsidR="00190B55" w:rsidRPr="00EA2B31">
        <w:rPr>
          <w:lang w:val="it-IT"/>
        </w:rPr>
        <w:t>dei promotori e investitori</w:t>
      </w:r>
      <w:r w:rsidRPr="00EA2B31">
        <w:rPr>
          <w:lang w:val="it-IT"/>
        </w:rPr>
        <w:t xml:space="preserve"> </w:t>
      </w:r>
      <w:r w:rsidR="000052E1" w:rsidRPr="00EA2B31">
        <w:rPr>
          <w:b/>
          <w:bCs/>
          <w:lang w:val="it-IT"/>
        </w:rPr>
        <w:t>CDP Venture Capital</w:t>
      </w:r>
      <w:r w:rsidR="00A5565E" w:rsidRPr="00EA2B31">
        <w:rPr>
          <w:lang w:val="it-IT"/>
        </w:rPr>
        <w:t xml:space="preserve">, </w:t>
      </w:r>
      <w:r w:rsidR="00190B55" w:rsidRPr="00EA2B31">
        <w:rPr>
          <w:lang w:val="it-IT"/>
        </w:rPr>
        <w:t>attraverso</w:t>
      </w:r>
      <w:r w:rsidR="000052E1" w:rsidRPr="00EA2B31">
        <w:rPr>
          <w:lang w:val="it-IT"/>
        </w:rPr>
        <w:t xml:space="preserve"> il </w:t>
      </w:r>
      <w:r w:rsidR="000052E1" w:rsidRPr="00EA2B31">
        <w:rPr>
          <w:bCs/>
          <w:lang w:val="it-IT"/>
        </w:rPr>
        <w:t>Fondo Acceleratori</w:t>
      </w:r>
      <w:r w:rsidRPr="00EA2B31">
        <w:rPr>
          <w:bCs/>
          <w:lang w:val="it-IT"/>
        </w:rPr>
        <w:t>,</w:t>
      </w:r>
      <w:r w:rsidR="000052E1" w:rsidRPr="00EA2B31">
        <w:rPr>
          <w:lang w:val="it-IT"/>
        </w:rPr>
        <w:t xml:space="preserve"> </w:t>
      </w:r>
      <w:r w:rsidR="000052E1" w:rsidRPr="00EA2B31">
        <w:rPr>
          <w:b/>
          <w:bCs/>
          <w:lang w:val="it-IT"/>
        </w:rPr>
        <w:t>Fondazione CRT</w:t>
      </w:r>
      <w:r w:rsidR="00A5565E" w:rsidRPr="00EA2B31">
        <w:rPr>
          <w:bCs/>
          <w:lang w:val="it-IT"/>
        </w:rPr>
        <w:t>,</w:t>
      </w:r>
      <w:r w:rsidR="00A5565E" w:rsidRPr="00EA2B31">
        <w:rPr>
          <w:b/>
          <w:bCs/>
          <w:lang w:val="it-IT"/>
        </w:rPr>
        <w:t xml:space="preserve"> </w:t>
      </w:r>
      <w:r w:rsidR="00190B55" w:rsidRPr="00EA2B31">
        <w:rPr>
          <w:lang w:val="it-IT"/>
        </w:rPr>
        <w:t>tramite</w:t>
      </w:r>
      <w:r w:rsidR="00570DBE" w:rsidRPr="00EA2B31">
        <w:rPr>
          <w:lang w:val="it-IT"/>
        </w:rPr>
        <w:t xml:space="preserve"> il braccio operativo Sviluppo e Crescita </w:t>
      </w:r>
      <w:r w:rsidR="00732ED1" w:rsidRPr="00EA2B31">
        <w:rPr>
          <w:lang w:val="it-IT"/>
        </w:rPr>
        <w:t>e</w:t>
      </w:r>
      <w:r w:rsidR="000052E1" w:rsidRPr="00EA2B31">
        <w:rPr>
          <w:lang w:val="it-IT"/>
        </w:rPr>
        <w:t xml:space="preserve"> </w:t>
      </w:r>
      <w:r w:rsidR="000052E1" w:rsidRPr="00EA2B31">
        <w:rPr>
          <w:b/>
          <w:bCs/>
          <w:lang w:val="it-IT"/>
        </w:rPr>
        <w:t>Uni</w:t>
      </w:r>
      <w:r w:rsidR="005E18F8" w:rsidRPr="00EA2B31">
        <w:rPr>
          <w:b/>
          <w:bCs/>
          <w:lang w:val="it-IT"/>
        </w:rPr>
        <w:t>C</w:t>
      </w:r>
      <w:r w:rsidR="000052E1" w:rsidRPr="00EA2B31">
        <w:rPr>
          <w:b/>
          <w:bCs/>
          <w:lang w:val="it-IT"/>
        </w:rPr>
        <w:t>redit</w:t>
      </w:r>
      <w:r w:rsidR="00190B55" w:rsidRPr="00EA2B31">
        <w:rPr>
          <w:bCs/>
          <w:lang w:val="it-IT"/>
        </w:rPr>
        <w:t>.</w:t>
      </w:r>
      <w:r w:rsidR="00190B55" w:rsidRPr="00EA2B31">
        <w:rPr>
          <w:b/>
          <w:bCs/>
          <w:lang w:val="it-IT"/>
        </w:rPr>
        <w:t xml:space="preserve"> </w:t>
      </w:r>
      <w:r w:rsidR="00190B55" w:rsidRPr="00EA2B31">
        <w:rPr>
          <w:lang w:val="it-IT"/>
        </w:rPr>
        <w:t xml:space="preserve">Il progetto coinvolge inoltre </w:t>
      </w:r>
      <w:r w:rsidR="000052E1" w:rsidRPr="00EA2B31">
        <w:rPr>
          <w:b/>
          <w:bCs/>
          <w:lang w:val="it-IT"/>
        </w:rPr>
        <w:t>Plug and Play Tech Center</w:t>
      </w:r>
      <w:r w:rsidR="00190B55" w:rsidRPr="00EA2B31">
        <w:rPr>
          <w:lang w:val="it-IT"/>
        </w:rPr>
        <w:t xml:space="preserve">, in qualità di </w:t>
      </w:r>
      <w:r w:rsidR="00A66AC7" w:rsidRPr="00EA2B31">
        <w:rPr>
          <w:lang w:val="it-IT"/>
        </w:rPr>
        <w:t>co</w:t>
      </w:r>
      <w:r w:rsidR="006F0F53" w:rsidRPr="00EA2B31">
        <w:rPr>
          <w:lang w:val="it-IT"/>
        </w:rPr>
        <w:t>-</w:t>
      </w:r>
      <w:r w:rsidR="00A66AC7" w:rsidRPr="00EA2B31">
        <w:rPr>
          <w:lang w:val="it-IT"/>
        </w:rPr>
        <w:t>investi</w:t>
      </w:r>
      <w:r w:rsidR="006F0F53" w:rsidRPr="00EA2B31">
        <w:rPr>
          <w:lang w:val="it-IT"/>
        </w:rPr>
        <w:t xml:space="preserve">tore e </w:t>
      </w:r>
      <w:r w:rsidR="005D2702" w:rsidRPr="00EA2B31">
        <w:rPr>
          <w:lang w:val="it-IT"/>
        </w:rPr>
        <w:t>gest</w:t>
      </w:r>
      <w:r w:rsidR="006F0F53" w:rsidRPr="00EA2B31">
        <w:rPr>
          <w:lang w:val="it-IT"/>
        </w:rPr>
        <w:t>ore</w:t>
      </w:r>
      <w:r w:rsidR="005D2702" w:rsidRPr="00EA2B31">
        <w:rPr>
          <w:lang w:val="it-IT"/>
        </w:rPr>
        <w:t xml:space="preserve"> operativ</w:t>
      </w:r>
      <w:r w:rsidR="006F0F53" w:rsidRPr="00EA2B31">
        <w:rPr>
          <w:lang w:val="it-IT"/>
        </w:rPr>
        <w:t>o</w:t>
      </w:r>
      <w:r w:rsidR="00C0723B" w:rsidRPr="00EA2B31">
        <w:rPr>
          <w:lang w:val="it-IT"/>
        </w:rPr>
        <w:t xml:space="preserve"> del programma di accelerazione</w:t>
      </w:r>
      <w:r w:rsidR="00190B55" w:rsidRPr="00EA2B31">
        <w:rPr>
          <w:lang w:val="it-IT"/>
        </w:rPr>
        <w:t xml:space="preserve">, </w:t>
      </w:r>
      <w:r w:rsidRPr="00EA2B31">
        <w:rPr>
          <w:lang w:val="it-IT"/>
        </w:rPr>
        <w:t>e</w:t>
      </w:r>
      <w:r w:rsidR="00190B55" w:rsidRPr="00EA2B31">
        <w:rPr>
          <w:lang w:val="it-IT"/>
        </w:rPr>
        <w:t xml:space="preserve"> </w:t>
      </w:r>
      <w:r w:rsidR="000052E1" w:rsidRPr="00EA2B31">
        <w:rPr>
          <w:b/>
          <w:bCs/>
          <w:lang w:val="it-IT"/>
        </w:rPr>
        <w:t>OGR</w:t>
      </w:r>
      <w:r w:rsidR="00F720CC" w:rsidRPr="00EA2B31">
        <w:rPr>
          <w:lang w:val="it-IT"/>
        </w:rPr>
        <w:t xml:space="preserve"> </w:t>
      </w:r>
      <w:r w:rsidR="00F720CC" w:rsidRPr="00EA2B31">
        <w:rPr>
          <w:b/>
          <w:bCs/>
          <w:lang w:val="it-IT"/>
        </w:rPr>
        <w:t>Torino</w:t>
      </w:r>
      <w:r w:rsidR="00190B55" w:rsidRPr="00EA2B31">
        <w:rPr>
          <w:bCs/>
          <w:lang w:val="it-IT"/>
        </w:rPr>
        <w:t>,</w:t>
      </w:r>
      <w:r w:rsidR="00F720CC" w:rsidRPr="00EA2B31">
        <w:rPr>
          <w:lang w:val="it-IT"/>
        </w:rPr>
        <w:t xml:space="preserve"> </w:t>
      </w:r>
      <w:r w:rsidR="00022BAD" w:rsidRPr="00EA2B31">
        <w:rPr>
          <w:lang w:val="it-IT"/>
        </w:rPr>
        <w:t>ne</w:t>
      </w:r>
      <w:r w:rsidR="00190B55" w:rsidRPr="00EA2B31">
        <w:rPr>
          <w:lang w:val="it-IT"/>
        </w:rPr>
        <w:t xml:space="preserve">l ruolo di </w:t>
      </w:r>
      <w:proofErr w:type="spellStart"/>
      <w:r w:rsidR="000052E1" w:rsidRPr="00EA2B31">
        <w:rPr>
          <w:i/>
          <w:iCs/>
          <w:lang w:val="it-IT"/>
        </w:rPr>
        <w:t>innovation</w:t>
      </w:r>
      <w:proofErr w:type="spellEnd"/>
      <w:r w:rsidR="000052E1" w:rsidRPr="00EA2B31">
        <w:rPr>
          <w:i/>
          <w:iCs/>
          <w:lang w:val="it-IT"/>
        </w:rPr>
        <w:t xml:space="preserve"> &amp; networking partner</w:t>
      </w:r>
      <w:r w:rsidR="000052E1" w:rsidRPr="00EA2B31">
        <w:rPr>
          <w:lang w:val="it-IT"/>
        </w:rPr>
        <w:t>.</w:t>
      </w:r>
      <w:r w:rsidR="00650370" w:rsidRPr="00EA2B31">
        <w:rPr>
          <w:lang w:val="it-IT"/>
        </w:rPr>
        <w:t xml:space="preserve"> </w:t>
      </w:r>
      <w:r w:rsidR="00022BAD" w:rsidRPr="00EA2B31">
        <w:rPr>
          <w:lang w:val="it-IT"/>
        </w:rPr>
        <w:t>L</w:t>
      </w:r>
      <w:r w:rsidR="00190B55" w:rsidRPr="00EA2B31">
        <w:rPr>
          <w:lang w:val="it-IT"/>
        </w:rPr>
        <w:t>’</w:t>
      </w:r>
      <w:r w:rsidR="00650370" w:rsidRPr="00EA2B31">
        <w:rPr>
          <w:b/>
          <w:lang w:val="it-IT"/>
        </w:rPr>
        <w:t>Unione Industriali Torino</w:t>
      </w:r>
      <w:r w:rsidR="00190B55" w:rsidRPr="00EA2B31">
        <w:rPr>
          <w:b/>
          <w:lang w:val="it-IT"/>
        </w:rPr>
        <w:t xml:space="preserve"> </w:t>
      </w:r>
      <w:r w:rsidR="00022BAD" w:rsidRPr="00EA2B31">
        <w:rPr>
          <w:lang w:val="it-IT"/>
        </w:rPr>
        <w:t>è</w:t>
      </w:r>
      <w:r w:rsidR="00022BAD" w:rsidRPr="00EA2B31">
        <w:rPr>
          <w:b/>
          <w:lang w:val="it-IT"/>
        </w:rPr>
        <w:t xml:space="preserve"> </w:t>
      </w:r>
      <w:r w:rsidR="00650370" w:rsidRPr="00EA2B31">
        <w:rPr>
          <w:lang w:val="it-IT"/>
        </w:rPr>
        <w:t>partner istituzionale</w:t>
      </w:r>
      <w:r w:rsidR="00190B55" w:rsidRPr="00EA2B31">
        <w:rPr>
          <w:lang w:val="it-IT"/>
        </w:rPr>
        <w:t>,</w:t>
      </w:r>
      <w:r w:rsidR="00F67642" w:rsidRPr="00EA2B31">
        <w:rPr>
          <w:lang w:val="it-IT"/>
        </w:rPr>
        <w:t xml:space="preserve"> </w:t>
      </w:r>
      <w:r w:rsidR="00190B55" w:rsidRPr="00EA2B31">
        <w:rPr>
          <w:lang w:val="it-IT"/>
        </w:rPr>
        <w:t>il Gruppo</w:t>
      </w:r>
      <w:r w:rsidR="00F67642" w:rsidRPr="00EA2B31">
        <w:rPr>
          <w:lang w:val="it-IT"/>
        </w:rPr>
        <w:t xml:space="preserve"> </w:t>
      </w:r>
      <w:r w:rsidR="00F67642" w:rsidRPr="00EA2B31">
        <w:rPr>
          <w:b/>
          <w:bCs/>
          <w:lang w:val="it-IT"/>
        </w:rPr>
        <w:t>Leonardo</w:t>
      </w:r>
      <w:r w:rsidR="00F67642" w:rsidRPr="00EA2B31">
        <w:rPr>
          <w:lang w:val="it-IT"/>
        </w:rPr>
        <w:t xml:space="preserve"> </w:t>
      </w:r>
      <w:r w:rsidR="00022BAD" w:rsidRPr="00EA2B31">
        <w:rPr>
          <w:lang w:val="it-IT"/>
        </w:rPr>
        <w:t>corporate partner</w:t>
      </w:r>
      <w:r w:rsidR="00F45919">
        <w:rPr>
          <w:lang w:val="it-IT"/>
        </w:rPr>
        <w:t xml:space="preserve">, </w:t>
      </w:r>
      <w:r w:rsidR="00F45919" w:rsidRPr="00F45919">
        <w:rPr>
          <w:lang w:val="it-IT"/>
        </w:rPr>
        <w:t>che metterà a disposizione delle startup le proprie distintive competenze industriali e tecnologie, maturate nel settore Aerospazio e nell’Advanced Manufacturing, durante tutte le fasi del programma.</w:t>
      </w:r>
    </w:p>
    <w:p w14:paraId="0985CF9B" w14:textId="3FA744AF" w:rsidR="00F80A7F" w:rsidRPr="00BF355E" w:rsidRDefault="003D4B8D" w:rsidP="00EA2B31">
      <w:pPr>
        <w:spacing w:line="240" w:lineRule="atLeast"/>
        <w:jc w:val="both"/>
        <w:rPr>
          <w:lang w:val="it-IT"/>
        </w:rPr>
      </w:pPr>
      <w:r w:rsidRPr="00EA2B31">
        <w:rPr>
          <w:lang w:val="it-IT"/>
        </w:rPr>
        <w:t xml:space="preserve">Con una dotazione </w:t>
      </w:r>
      <w:r w:rsidR="00190B55" w:rsidRPr="00EA2B31">
        <w:rPr>
          <w:lang w:val="it-IT"/>
        </w:rPr>
        <w:t>di partenza</w:t>
      </w:r>
      <w:r w:rsidRPr="00EA2B31">
        <w:rPr>
          <w:lang w:val="it-IT"/>
        </w:rPr>
        <w:t xml:space="preserve"> di </w:t>
      </w:r>
      <w:r w:rsidR="00B70682" w:rsidRPr="00EA2B31">
        <w:rPr>
          <w:lang w:val="it-IT"/>
        </w:rPr>
        <w:t xml:space="preserve">oltre </w:t>
      </w:r>
      <w:r w:rsidR="005E18F8" w:rsidRPr="00EA2B31">
        <w:rPr>
          <w:b/>
          <w:bCs/>
          <w:lang w:val="it-IT"/>
        </w:rPr>
        <w:t>2</w:t>
      </w:r>
      <w:r w:rsidR="00A748FB" w:rsidRPr="00EA2B31">
        <w:rPr>
          <w:b/>
          <w:bCs/>
          <w:lang w:val="it-IT"/>
        </w:rPr>
        <w:t>1</w:t>
      </w:r>
      <w:r w:rsidR="005E18F8" w:rsidRPr="00EA2B31">
        <w:rPr>
          <w:b/>
          <w:bCs/>
          <w:lang w:val="it-IT"/>
        </w:rPr>
        <w:t xml:space="preserve"> milioni di</w:t>
      </w:r>
      <w:r w:rsidR="00AF0717" w:rsidRPr="00EA2B31">
        <w:rPr>
          <w:b/>
          <w:bCs/>
          <w:lang w:val="it-IT"/>
        </w:rPr>
        <w:t xml:space="preserve"> euro</w:t>
      </w:r>
      <w:r w:rsidR="00AF0717" w:rsidRPr="00EA2B31">
        <w:rPr>
          <w:lang w:val="it-IT"/>
        </w:rPr>
        <w:t xml:space="preserve"> </w:t>
      </w:r>
      <w:r w:rsidR="00570DBE" w:rsidRPr="00EA2B31">
        <w:rPr>
          <w:lang w:val="it-IT"/>
        </w:rPr>
        <w:t>(</w:t>
      </w:r>
      <w:r w:rsidR="00B70682" w:rsidRPr="00EA2B31">
        <w:rPr>
          <w:lang w:val="it-IT"/>
        </w:rPr>
        <w:t>di cui 10</w:t>
      </w:r>
      <w:r w:rsidR="00A5565E" w:rsidRPr="00EA2B31">
        <w:rPr>
          <w:lang w:val="it-IT"/>
        </w:rPr>
        <w:t xml:space="preserve"> milioni allocati</w:t>
      </w:r>
      <w:r w:rsidR="00B70682" w:rsidRPr="00EA2B31">
        <w:rPr>
          <w:lang w:val="it-IT"/>
        </w:rPr>
        <w:t xml:space="preserve"> d</w:t>
      </w:r>
      <w:r w:rsidR="004772C7" w:rsidRPr="00EA2B31">
        <w:rPr>
          <w:lang w:val="it-IT"/>
        </w:rPr>
        <w:t>al Fondo Acceler</w:t>
      </w:r>
      <w:r w:rsidR="00F67642" w:rsidRPr="00EA2B31">
        <w:rPr>
          <w:lang w:val="it-IT"/>
        </w:rPr>
        <w:t>a</w:t>
      </w:r>
      <w:r w:rsidR="004772C7" w:rsidRPr="00EA2B31">
        <w:rPr>
          <w:lang w:val="it-IT"/>
        </w:rPr>
        <w:t xml:space="preserve">tori di </w:t>
      </w:r>
      <w:r w:rsidR="00B70682" w:rsidRPr="00EA2B31">
        <w:rPr>
          <w:lang w:val="it-IT"/>
        </w:rPr>
        <w:t xml:space="preserve">CDP Venture Capital Sgr, 10 </w:t>
      </w:r>
      <w:r w:rsidR="00466EDD" w:rsidRPr="00EA2B31">
        <w:rPr>
          <w:lang w:val="it-IT"/>
        </w:rPr>
        <w:t xml:space="preserve">messi a disposizione </w:t>
      </w:r>
      <w:r w:rsidR="00F80A7F" w:rsidRPr="00EA2B31">
        <w:rPr>
          <w:lang w:val="it-IT"/>
        </w:rPr>
        <w:t xml:space="preserve">complessivamente da </w:t>
      </w:r>
      <w:r w:rsidR="00B70682" w:rsidRPr="00EA2B31">
        <w:rPr>
          <w:lang w:val="it-IT"/>
        </w:rPr>
        <w:t>Fondazione CRT</w:t>
      </w:r>
      <w:r w:rsidR="00466EDD" w:rsidRPr="00EA2B31">
        <w:rPr>
          <w:lang w:val="it-IT"/>
        </w:rPr>
        <w:t xml:space="preserve"> </w:t>
      </w:r>
      <w:r w:rsidR="00B70682" w:rsidRPr="00EA2B31">
        <w:rPr>
          <w:lang w:val="it-IT"/>
        </w:rPr>
        <w:t>e UniCredit</w:t>
      </w:r>
      <w:r w:rsidR="00A5565E" w:rsidRPr="00EA2B31">
        <w:rPr>
          <w:lang w:val="it-IT"/>
        </w:rPr>
        <w:t xml:space="preserve"> e</w:t>
      </w:r>
      <w:r w:rsidR="00B70682" w:rsidRPr="00EA2B31">
        <w:rPr>
          <w:lang w:val="it-IT"/>
        </w:rPr>
        <w:t xml:space="preserve"> 1,35 di Plug and Play Tech Center</w:t>
      </w:r>
      <w:r w:rsidR="00570DBE" w:rsidRPr="00EA2B31">
        <w:rPr>
          <w:lang w:val="it-IT"/>
        </w:rPr>
        <w:t xml:space="preserve">) </w:t>
      </w:r>
      <w:r w:rsidR="00AF0717" w:rsidRPr="00EA2B31">
        <w:rPr>
          <w:lang w:val="it-IT"/>
        </w:rPr>
        <w:t xml:space="preserve">per </w:t>
      </w:r>
      <w:r w:rsidRPr="00EA2B31">
        <w:rPr>
          <w:lang w:val="it-IT"/>
        </w:rPr>
        <w:t xml:space="preserve">gli investimenti in </w:t>
      </w:r>
      <w:r w:rsidR="00AF0717" w:rsidRPr="00EA2B31">
        <w:rPr>
          <w:lang w:val="it-IT"/>
        </w:rPr>
        <w:t xml:space="preserve">accelerazione e </w:t>
      </w:r>
      <w:r w:rsidRPr="00EA2B31">
        <w:rPr>
          <w:lang w:val="it-IT"/>
        </w:rPr>
        <w:t xml:space="preserve">per </w:t>
      </w:r>
      <w:r w:rsidR="00AF0717" w:rsidRPr="00EA2B31">
        <w:rPr>
          <w:lang w:val="it-IT"/>
        </w:rPr>
        <w:t xml:space="preserve">i successivi </w:t>
      </w:r>
      <w:r w:rsidR="00F80A7F" w:rsidRPr="00EA2B31">
        <w:rPr>
          <w:lang w:val="it-IT"/>
        </w:rPr>
        <w:t>step di crescita delle startup</w:t>
      </w:r>
      <w:r w:rsidR="00AF0717" w:rsidRPr="00EA2B31">
        <w:rPr>
          <w:lang w:val="it-IT"/>
        </w:rPr>
        <w:t xml:space="preserve">, Takeoff </w:t>
      </w:r>
      <w:r w:rsidR="00F80A7F" w:rsidRPr="00EA2B31">
        <w:rPr>
          <w:lang w:val="it-IT"/>
        </w:rPr>
        <w:t>sosterrà</w:t>
      </w:r>
      <w:r w:rsidR="00AF0717" w:rsidRPr="00EA2B31">
        <w:rPr>
          <w:lang w:val="it-IT"/>
        </w:rPr>
        <w:t xml:space="preserve"> l</w:t>
      </w:r>
      <w:r w:rsidR="00F80A7F" w:rsidRPr="00EA2B31">
        <w:rPr>
          <w:lang w:val="it-IT"/>
        </w:rPr>
        <w:t xml:space="preserve">’implementazione e sviluppo  delle società </w:t>
      </w:r>
      <w:r w:rsidR="006230AE" w:rsidRPr="00EA2B31">
        <w:rPr>
          <w:lang w:val="it-IT"/>
        </w:rPr>
        <w:t xml:space="preserve">che </w:t>
      </w:r>
      <w:r w:rsidR="00AF0717" w:rsidRPr="00EA2B31">
        <w:rPr>
          <w:lang w:val="it-IT"/>
        </w:rPr>
        <w:t>opera</w:t>
      </w:r>
      <w:r w:rsidR="006230AE" w:rsidRPr="00EA2B31">
        <w:rPr>
          <w:lang w:val="it-IT"/>
        </w:rPr>
        <w:t xml:space="preserve">no </w:t>
      </w:r>
      <w:r w:rsidR="001949F3" w:rsidRPr="00EA2B31">
        <w:rPr>
          <w:lang w:val="it-IT"/>
        </w:rPr>
        <w:t>nell’aerospazio</w:t>
      </w:r>
      <w:r w:rsidR="006230AE" w:rsidRPr="00EA2B31">
        <w:rPr>
          <w:lang w:val="it-IT"/>
        </w:rPr>
        <w:t xml:space="preserve">, </w:t>
      </w:r>
      <w:r w:rsidR="0030574B" w:rsidRPr="00EA2B31">
        <w:rPr>
          <w:lang w:val="it-IT"/>
        </w:rPr>
        <w:t>nell’aeronautica</w:t>
      </w:r>
      <w:r w:rsidR="0030574B" w:rsidRPr="00BF355E">
        <w:rPr>
          <w:lang w:val="it-IT"/>
        </w:rPr>
        <w:t xml:space="preserve">, </w:t>
      </w:r>
      <w:r w:rsidR="006230AE" w:rsidRPr="00BF355E">
        <w:rPr>
          <w:lang w:val="it-IT"/>
        </w:rPr>
        <w:t>nell</w:t>
      </w:r>
      <w:r w:rsidR="00C6685E" w:rsidRPr="00BF355E">
        <w:rPr>
          <w:lang w:val="it-IT"/>
        </w:rPr>
        <w:t xml:space="preserve">’air </w:t>
      </w:r>
      <w:proofErr w:type="spellStart"/>
      <w:r w:rsidR="001949F3" w:rsidRPr="00BF355E">
        <w:rPr>
          <w:i/>
          <w:lang w:val="it-IT"/>
        </w:rPr>
        <w:t>mobility</w:t>
      </w:r>
      <w:proofErr w:type="spellEnd"/>
      <w:r w:rsidR="001949F3" w:rsidRPr="00BF355E">
        <w:rPr>
          <w:lang w:val="it-IT"/>
        </w:rPr>
        <w:t xml:space="preserve"> </w:t>
      </w:r>
      <w:r w:rsidR="0038050F" w:rsidRPr="00BF355E">
        <w:rPr>
          <w:lang w:val="it-IT"/>
        </w:rPr>
        <w:t xml:space="preserve">e </w:t>
      </w:r>
      <w:proofErr w:type="spellStart"/>
      <w:r w:rsidR="006230AE" w:rsidRPr="00BF355E">
        <w:rPr>
          <w:lang w:val="it-IT"/>
        </w:rPr>
        <w:t>nell’</w:t>
      </w:r>
      <w:r w:rsidR="0038050F" w:rsidRPr="00BF355E">
        <w:rPr>
          <w:i/>
          <w:lang w:val="it-IT"/>
        </w:rPr>
        <w:t>advanced</w:t>
      </w:r>
      <w:proofErr w:type="spellEnd"/>
      <w:r w:rsidR="0038050F" w:rsidRPr="00BF355E">
        <w:rPr>
          <w:i/>
          <w:lang w:val="it-IT"/>
        </w:rPr>
        <w:t xml:space="preserve"> hardware</w:t>
      </w:r>
      <w:r w:rsidR="006230AE" w:rsidRPr="00BF355E">
        <w:rPr>
          <w:lang w:val="it-IT"/>
        </w:rPr>
        <w:t>, caratterizzato dall’applicazione dell’intelligenza artificiale e dei Big Data al manifatturiero</w:t>
      </w:r>
      <w:r w:rsidRPr="00BF355E">
        <w:rPr>
          <w:lang w:val="it-IT"/>
        </w:rPr>
        <w:t xml:space="preserve">. </w:t>
      </w:r>
    </w:p>
    <w:p w14:paraId="657E9532" w14:textId="77777777" w:rsidR="00D706AF" w:rsidRPr="00BF355E" w:rsidRDefault="00D706AF" w:rsidP="00EA2B31">
      <w:pPr>
        <w:spacing w:line="240" w:lineRule="atLeast"/>
        <w:jc w:val="both"/>
        <w:rPr>
          <w:lang w:val="it-IT"/>
        </w:rPr>
      </w:pPr>
    </w:p>
    <w:p w14:paraId="0F0DCFA0" w14:textId="45CE7E22" w:rsidR="002652F8" w:rsidRDefault="006230AE" w:rsidP="00EA2B31">
      <w:pPr>
        <w:spacing w:line="240" w:lineRule="atLeast"/>
        <w:jc w:val="both"/>
        <w:rPr>
          <w:lang w:val="it-IT"/>
        </w:rPr>
      </w:pPr>
      <w:r w:rsidRPr="00BF355E">
        <w:rPr>
          <w:lang w:val="it-IT"/>
        </w:rPr>
        <w:t>Numerose</w:t>
      </w:r>
      <w:r w:rsidR="00F80A7F" w:rsidRPr="00BF355E">
        <w:rPr>
          <w:lang w:val="it-IT"/>
        </w:rPr>
        <w:t xml:space="preserve"> sono</w:t>
      </w:r>
      <w:r w:rsidRPr="00BF355E">
        <w:rPr>
          <w:lang w:val="it-IT"/>
        </w:rPr>
        <w:t xml:space="preserve"> le </w:t>
      </w:r>
      <w:r w:rsidR="00730D8A" w:rsidRPr="00BF355E">
        <w:rPr>
          <w:lang w:val="it-IT"/>
        </w:rPr>
        <w:t xml:space="preserve">possibili </w:t>
      </w:r>
      <w:r w:rsidRPr="00BF355E">
        <w:rPr>
          <w:lang w:val="it-IT"/>
        </w:rPr>
        <w:t>declinazioni progettuali</w:t>
      </w:r>
      <w:r w:rsidR="00730D8A" w:rsidRPr="00BF355E">
        <w:rPr>
          <w:lang w:val="it-IT"/>
        </w:rPr>
        <w:t xml:space="preserve">, tra </w:t>
      </w:r>
      <w:r w:rsidR="00F80A7F" w:rsidRPr="00BF355E">
        <w:rPr>
          <w:lang w:val="it-IT"/>
        </w:rPr>
        <w:t>le quali si evidenziano lo</w:t>
      </w:r>
      <w:r w:rsidRPr="00BF355E">
        <w:rPr>
          <w:lang w:val="it-IT"/>
        </w:rPr>
        <w:t xml:space="preserve"> s</w:t>
      </w:r>
      <w:r w:rsidR="00AF0717" w:rsidRPr="00BF355E">
        <w:rPr>
          <w:lang w:val="it-IT"/>
        </w:rPr>
        <w:t>viluppo tecnologico di satelliti e relative applicazioni software,</w:t>
      </w:r>
      <w:r w:rsidR="00F80A7F" w:rsidRPr="00BF355E">
        <w:rPr>
          <w:lang w:val="it-IT"/>
        </w:rPr>
        <w:t xml:space="preserve"> i</w:t>
      </w:r>
      <w:r w:rsidR="00AF0717" w:rsidRPr="00BF355E">
        <w:rPr>
          <w:lang w:val="it-IT"/>
        </w:rPr>
        <w:t xml:space="preserve"> lanciatori</w:t>
      </w:r>
      <w:r w:rsidR="002E2A96" w:rsidRPr="00BF355E">
        <w:rPr>
          <w:lang w:val="it-IT"/>
        </w:rPr>
        <w:t xml:space="preserve"> spaziali</w:t>
      </w:r>
      <w:r w:rsidR="00AF0717" w:rsidRPr="00BF355E">
        <w:rPr>
          <w:lang w:val="it-IT"/>
        </w:rPr>
        <w:t xml:space="preserve">, </w:t>
      </w:r>
      <w:r w:rsidR="00254519" w:rsidRPr="00BF355E">
        <w:rPr>
          <w:lang w:val="it-IT"/>
        </w:rPr>
        <w:t xml:space="preserve">le soluzioni per la mobilità aerea avanzata e sostenibile, i velivoli autonomi, </w:t>
      </w:r>
      <w:r w:rsidR="000C1851" w:rsidRPr="00BF355E">
        <w:rPr>
          <w:lang w:val="it-IT"/>
        </w:rPr>
        <w:t xml:space="preserve">i servizi logistici </w:t>
      </w:r>
      <w:r w:rsidR="000C1851" w:rsidRPr="00BF355E">
        <w:rPr>
          <w:i/>
          <w:iCs/>
          <w:lang w:val="it-IT"/>
        </w:rPr>
        <w:t xml:space="preserve">data </w:t>
      </w:r>
      <w:proofErr w:type="spellStart"/>
      <w:r w:rsidR="000C1851" w:rsidRPr="00BF355E">
        <w:rPr>
          <w:i/>
          <w:iCs/>
          <w:lang w:val="it-IT"/>
        </w:rPr>
        <w:t>driven</w:t>
      </w:r>
      <w:proofErr w:type="spellEnd"/>
      <w:r w:rsidR="000C1851" w:rsidRPr="00BF355E">
        <w:rPr>
          <w:lang w:val="it-IT"/>
        </w:rPr>
        <w:t xml:space="preserve">, </w:t>
      </w:r>
      <w:r w:rsidR="00F80A7F" w:rsidRPr="00BF355E">
        <w:rPr>
          <w:lang w:val="it-IT"/>
        </w:rPr>
        <w:t>oltre a</w:t>
      </w:r>
      <w:r w:rsidR="0030574B" w:rsidRPr="00BF355E">
        <w:rPr>
          <w:color w:val="FF0000"/>
          <w:lang w:val="it-IT"/>
        </w:rPr>
        <w:t xml:space="preserve"> </w:t>
      </w:r>
      <w:r w:rsidR="00AF0717" w:rsidRPr="00BF355E">
        <w:rPr>
          <w:lang w:val="it-IT"/>
        </w:rPr>
        <w:t xml:space="preserve">sensori, batterie, semiconduttori, </w:t>
      </w:r>
      <w:r w:rsidR="00AF0717" w:rsidRPr="00BF355E">
        <w:rPr>
          <w:i/>
          <w:iCs/>
          <w:lang w:val="it-IT"/>
        </w:rPr>
        <w:t xml:space="preserve">computing </w:t>
      </w:r>
      <w:proofErr w:type="spellStart"/>
      <w:r w:rsidR="00AF0717" w:rsidRPr="00BF355E">
        <w:rPr>
          <w:i/>
          <w:iCs/>
          <w:lang w:val="it-IT"/>
        </w:rPr>
        <w:t>technologies</w:t>
      </w:r>
      <w:proofErr w:type="spellEnd"/>
      <w:r w:rsidR="00AF0717" w:rsidRPr="00BF355E">
        <w:rPr>
          <w:lang w:val="it-IT"/>
        </w:rPr>
        <w:t>, robotica e</w:t>
      </w:r>
      <w:r w:rsidR="00F80A7F" w:rsidRPr="00BF355E">
        <w:rPr>
          <w:lang w:val="it-IT"/>
        </w:rPr>
        <w:t xml:space="preserve"> </w:t>
      </w:r>
      <w:r w:rsidR="00AF0717" w:rsidRPr="00BF355E">
        <w:rPr>
          <w:i/>
          <w:iCs/>
          <w:lang w:val="it-IT"/>
        </w:rPr>
        <w:t>data center</w:t>
      </w:r>
      <w:r w:rsidRPr="00BF355E">
        <w:rPr>
          <w:lang w:val="it-IT"/>
        </w:rPr>
        <w:t>.</w:t>
      </w:r>
    </w:p>
    <w:p w14:paraId="722023D2" w14:textId="17E518C3" w:rsidR="000052E1" w:rsidRPr="00EA2B31" w:rsidRDefault="000052E1" w:rsidP="00EA2B31">
      <w:pPr>
        <w:spacing w:line="240" w:lineRule="atLeast"/>
        <w:jc w:val="both"/>
        <w:rPr>
          <w:lang w:val="it-IT"/>
        </w:rPr>
      </w:pPr>
    </w:p>
    <w:p w14:paraId="2FF711C6" w14:textId="1ECFB44B" w:rsidR="00B4043F" w:rsidRPr="00EA2B31" w:rsidRDefault="000E4049" w:rsidP="00EA2B31">
      <w:pPr>
        <w:spacing w:after="120" w:line="240" w:lineRule="atLeast"/>
        <w:jc w:val="both"/>
        <w:rPr>
          <w:lang w:val="it-IT"/>
        </w:rPr>
      </w:pPr>
      <w:r w:rsidRPr="00EA2B31">
        <w:rPr>
          <w:lang w:val="it-IT"/>
        </w:rPr>
        <w:t>Il programma selezionerà ogni anno</w:t>
      </w:r>
      <w:r w:rsidR="00F80A7F" w:rsidRPr="00EA2B31">
        <w:rPr>
          <w:lang w:val="it-IT"/>
        </w:rPr>
        <w:t>,</w:t>
      </w:r>
      <w:r w:rsidRPr="00EA2B31">
        <w:rPr>
          <w:lang w:val="it-IT"/>
        </w:rPr>
        <w:t xml:space="preserve"> per tre anni</w:t>
      </w:r>
      <w:r w:rsidR="00F80A7F" w:rsidRPr="00EA2B31">
        <w:rPr>
          <w:lang w:val="it-IT"/>
        </w:rPr>
        <w:t>,</w:t>
      </w:r>
      <w:r w:rsidRPr="00EA2B31">
        <w:rPr>
          <w:lang w:val="it-IT"/>
        </w:rPr>
        <w:t xml:space="preserve"> </w:t>
      </w:r>
      <w:r w:rsidR="00F80A7F" w:rsidRPr="00EA2B31">
        <w:rPr>
          <w:lang w:val="it-IT"/>
        </w:rPr>
        <w:t>fino a</w:t>
      </w:r>
      <w:r w:rsidRPr="00EA2B31">
        <w:rPr>
          <w:lang w:val="it-IT"/>
        </w:rPr>
        <w:t xml:space="preserve"> 10 startup in fase </w:t>
      </w:r>
      <w:proofErr w:type="spellStart"/>
      <w:r w:rsidRPr="00EA2B31">
        <w:rPr>
          <w:i/>
          <w:iCs/>
          <w:lang w:val="it-IT"/>
        </w:rPr>
        <w:t>seed</w:t>
      </w:r>
      <w:proofErr w:type="spellEnd"/>
      <w:r w:rsidRPr="00EA2B31">
        <w:rPr>
          <w:lang w:val="it-IT"/>
        </w:rPr>
        <w:t xml:space="preserve"> e </w:t>
      </w:r>
      <w:proofErr w:type="spellStart"/>
      <w:r w:rsidRPr="00EA2B31">
        <w:rPr>
          <w:i/>
          <w:iCs/>
          <w:lang w:val="it-IT"/>
        </w:rPr>
        <w:t>pre-seed</w:t>
      </w:r>
      <w:proofErr w:type="spellEnd"/>
      <w:r w:rsidRPr="00EA2B31">
        <w:rPr>
          <w:lang w:val="it-IT"/>
        </w:rPr>
        <w:t xml:space="preserve"> che potranno accedere a un percorso </w:t>
      </w:r>
      <w:r w:rsidR="006205F9" w:rsidRPr="00EA2B31">
        <w:rPr>
          <w:lang w:val="it-IT"/>
        </w:rPr>
        <w:t xml:space="preserve">di </w:t>
      </w:r>
      <w:r w:rsidR="00107753" w:rsidRPr="00EA2B31">
        <w:rPr>
          <w:lang w:val="it-IT"/>
        </w:rPr>
        <w:t>5</w:t>
      </w:r>
      <w:r w:rsidR="006205F9" w:rsidRPr="00EA2B31">
        <w:rPr>
          <w:lang w:val="it-IT"/>
        </w:rPr>
        <w:t xml:space="preserve"> mesi </w:t>
      </w:r>
      <w:r w:rsidR="00F80A7F" w:rsidRPr="00EA2B31">
        <w:rPr>
          <w:lang w:val="it-IT"/>
        </w:rPr>
        <w:t xml:space="preserve">di accelerazione </w:t>
      </w:r>
      <w:r w:rsidRPr="00EA2B31">
        <w:rPr>
          <w:lang w:val="it-IT"/>
        </w:rPr>
        <w:t>strutturato dai partner del</w:t>
      </w:r>
      <w:r w:rsidR="00F80A7F" w:rsidRPr="00EA2B31">
        <w:rPr>
          <w:lang w:val="it-IT"/>
        </w:rPr>
        <w:t xml:space="preserve"> progetto</w:t>
      </w:r>
      <w:r w:rsidRPr="00EA2B31">
        <w:rPr>
          <w:lang w:val="it-IT"/>
        </w:rPr>
        <w:t xml:space="preserve">, che le guiderà verso la </w:t>
      </w:r>
      <w:r w:rsidR="00F80A7F" w:rsidRPr="00EA2B31">
        <w:rPr>
          <w:lang w:val="it-IT"/>
        </w:rPr>
        <w:t>definizione</w:t>
      </w:r>
      <w:r w:rsidRPr="00EA2B31">
        <w:rPr>
          <w:lang w:val="it-IT"/>
        </w:rPr>
        <w:t xml:space="preserve"> del proprio modello di business</w:t>
      </w:r>
      <w:r w:rsidR="00E55EDE" w:rsidRPr="00EA2B31">
        <w:rPr>
          <w:lang w:val="it-IT"/>
        </w:rPr>
        <w:t xml:space="preserve"> aiutandole </w:t>
      </w:r>
      <w:r w:rsidR="00F80A7F" w:rsidRPr="00EA2B31">
        <w:rPr>
          <w:lang w:val="it-IT"/>
        </w:rPr>
        <w:t xml:space="preserve">così </w:t>
      </w:r>
      <w:r w:rsidR="00E55EDE" w:rsidRPr="00EA2B31">
        <w:rPr>
          <w:lang w:val="it-IT"/>
        </w:rPr>
        <w:t>a identificare correttamente il mercato</w:t>
      </w:r>
      <w:r w:rsidR="00F80A7F" w:rsidRPr="00EA2B31">
        <w:rPr>
          <w:lang w:val="it-IT"/>
        </w:rPr>
        <w:t xml:space="preserve"> di riferimento</w:t>
      </w:r>
      <w:r w:rsidR="00E55EDE" w:rsidRPr="00EA2B31">
        <w:rPr>
          <w:lang w:val="it-IT"/>
        </w:rPr>
        <w:t xml:space="preserve"> e la strategia commerciale</w:t>
      </w:r>
      <w:r w:rsidR="00F80A7F" w:rsidRPr="00EA2B31">
        <w:rPr>
          <w:lang w:val="it-IT"/>
        </w:rPr>
        <w:t xml:space="preserve"> più idonea al raggiungimento degli obiettivi.</w:t>
      </w:r>
    </w:p>
    <w:p w14:paraId="41114976" w14:textId="73284EB0" w:rsidR="00A2301E" w:rsidRPr="00E11D30" w:rsidRDefault="000E4049" w:rsidP="00EA2B31">
      <w:pPr>
        <w:spacing w:after="120" w:line="240" w:lineRule="atLeast"/>
        <w:jc w:val="both"/>
        <w:rPr>
          <w:shd w:val="clear" w:color="auto" w:fill="FFFF0B"/>
          <w:lang w:val="it-IT"/>
        </w:rPr>
      </w:pPr>
      <w:r w:rsidRPr="00EA2B31">
        <w:rPr>
          <w:lang w:val="it-IT"/>
        </w:rPr>
        <w:lastRenderedPageBreak/>
        <w:t xml:space="preserve">I migliori team </w:t>
      </w:r>
      <w:r w:rsidR="00F80A7F" w:rsidRPr="00EA2B31">
        <w:rPr>
          <w:lang w:val="it-IT"/>
        </w:rPr>
        <w:t xml:space="preserve">selezionati dall’acceleratore </w:t>
      </w:r>
      <w:r w:rsidRPr="00EA2B31">
        <w:rPr>
          <w:lang w:val="it-IT"/>
        </w:rPr>
        <w:t>avranno inoltre accesso a ulteriori investimenti già stanziati dai promotori dell’iniziativa</w:t>
      </w:r>
      <w:r w:rsidR="00376B7D" w:rsidRPr="00EA2B31">
        <w:rPr>
          <w:lang w:val="it-IT"/>
        </w:rPr>
        <w:t xml:space="preserve">, per </w:t>
      </w:r>
      <w:r w:rsidR="007C442B" w:rsidRPr="00EA2B31">
        <w:rPr>
          <w:i/>
          <w:iCs/>
          <w:lang w:val="it-IT"/>
        </w:rPr>
        <w:t>integrarsi nel</w:t>
      </w:r>
      <w:r w:rsidR="007C442B" w:rsidRPr="00EA2B31">
        <w:rPr>
          <w:lang w:val="it-IT"/>
        </w:rPr>
        <w:t xml:space="preserve"> tessuto industriale del territorio </w:t>
      </w:r>
      <w:r w:rsidR="003418FE" w:rsidRPr="00EA2B31">
        <w:rPr>
          <w:lang w:val="it-IT"/>
        </w:rPr>
        <w:t xml:space="preserve">e </w:t>
      </w:r>
      <w:r w:rsidR="00F80A7F" w:rsidRPr="00EA2B31">
        <w:rPr>
          <w:lang w:val="it-IT"/>
        </w:rPr>
        <w:t xml:space="preserve">per </w:t>
      </w:r>
      <w:r w:rsidR="003418FE" w:rsidRPr="00EA2B31">
        <w:rPr>
          <w:lang w:val="it-IT"/>
        </w:rPr>
        <w:t xml:space="preserve">rafforzare l’ecosistema in cui operano le eccellenze nei settori sui quali si focalizza Takeoff. </w:t>
      </w:r>
    </w:p>
    <w:p w14:paraId="5FE865FB" w14:textId="566EC9F7" w:rsidR="00A2301E" w:rsidRPr="00EA2B31" w:rsidRDefault="00A2301E" w:rsidP="00EA2B31">
      <w:pPr>
        <w:pStyle w:val="p1"/>
        <w:spacing w:before="0" w:beforeAutospacing="0" w:after="0" w:afterAutospacing="0" w:line="240" w:lineRule="atLeast"/>
        <w:jc w:val="both"/>
        <w:rPr>
          <w:rFonts w:ascii="Arial" w:eastAsia="Arial" w:hAnsi="Arial" w:cs="Arial"/>
          <w:i/>
          <w:iCs/>
          <w:lang w:eastAsia="it-IT"/>
        </w:rPr>
      </w:pPr>
      <w:r w:rsidRPr="00EA2B31">
        <w:rPr>
          <w:rFonts w:ascii="Arial" w:eastAsia="Arial" w:hAnsi="Arial" w:cs="Arial"/>
          <w:i/>
          <w:iCs/>
          <w:lang w:eastAsia="it-IT"/>
        </w:rPr>
        <w:t xml:space="preserve">“La Rete Nazionale Acceleratori CDP conta oggi più di 10 hub in tutta Italia, ciascuno focalizzato su un’industria a elevato potenziale di </w:t>
      </w:r>
      <w:r w:rsidR="005E4CE6" w:rsidRPr="00EA2B31">
        <w:rPr>
          <w:rFonts w:ascii="Arial" w:eastAsia="Arial" w:hAnsi="Arial" w:cs="Arial"/>
          <w:i/>
          <w:iCs/>
          <w:lang w:eastAsia="it-IT"/>
        </w:rPr>
        <w:t>mercato</w:t>
      </w:r>
      <w:r w:rsidRPr="00EA2B31">
        <w:rPr>
          <w:rFonts w:ascii="Arial" w:eastAsia="Arial" w:hAnsi="Arial" w:cs="Arial"/>
          <w:i/>
          <w:iCs/>
          <w:lang w:eastAsia="it-IT"/>
        </w:rPr>
        <w:t xml:space="preserve"> e tutti connessi fra loro per far crescere una nuova generazione di imprese innovative” </w:t>
      </w:r>
      <w:r w:rsidRPr="00EA2B31">
        <w:rPr>
          <w:rFonts w:ascii="Arial" w:eastAsia="Arial" w:hAnsi="Arial" w:cs="Arial"/>
          <w:lang w:eastAsia="it-IT"/>
        </w:rPr>
        <w:t xml:space="preserve">commenta </w:t>
      </w:r>
      <w:r w:rsidRPr="00EA2B31">
        <w:rPr>
          <w:rFonts w:ascii="Arial" w:eastAsia="Arial" w:hAnsi="Arial" w:cs="Arial"/>
          <w:b/>
          <w:bCs/>
          <w:lang w:eastAsia="it-IT"/>
        </w:rPr>
        <w:t>Francesca Bria, Presidente di CDP Venture Capital Sgr</w:t>
      </w:r>
      <w:r w:rsidRPr="00EA2B31">
        <w:rPr>
          <w:rFonts w:ascii="Arial" w:eastAsia="Arial" w:hAnsi="Arial" w:cs="Arial"/>
          <w:lang w:eastAsia="it-IT"/>
        </w:rPr>
        <w:t>, </w:t>
      </w:r>
      <w:r w:rsidRPr="00EA2B31">
        <w:rPr>
          <w:rFonts w:ascii="Arial" w:eastAsia="Arial" w:hAnsi="Arial" w:cs="Arial"/>
          <w:i/>
          <w:iCs/>
          <w:lang w:eastAsia="it-IT"/>
        </w:rPr>
        <w:t xml:space="preserve">“L’industria aerospaziale rappresenta un’eccellenza </w:t>
      </w:r>
      <w:r w:rsidR="005E4CE6" w:rsidRPr="00EA2B31">
        <w:rPr>
          <w:rFonts w:ascii="Arial" w:eastAsia="Arial" w:hAnsi="Arial" w:cs="Arial"/>
          <w:i/>
          <w:iCs/>
          <w:lang w:eastAsia="it-IT"/>
        </w:rPr>
        <w:t>nel nostro Paese</w:t>
      </w:r>
      <w:r w:rsidRPr="00EA2B31">
        <w:rPr>
          <w:rFonts w:ascii="Arial" w:eastAsia="Arial" w:hAnsi="Arial" w:cs="Arial"/>
          <w:i/>
          <w:iCs/>
          <w:lang w:eastAsia="it-IT"/>
        </w:rPr>
        <w:t xml:space="preserve">, anche per quanto riguarda la qualità della ricerca e sviluppo in tecnologie strategiche come semiconduttori, batterie, droni e intelligenza artificiale applicata al manifatturiero. Accelerare nuove startup che operano in questo settore strategico vuol dire consolidare Torino come hub tecnologico europeo, investendo nelle tecnologie di frontiera e stimolando, con il trasferimento tecnologico, le aziende del territorio ad aprirsi all’innovazione per contribuire a generare occupazione di </w:t>
      </w:r>
      <w:r w:rsidR="006454D3" w:rsidRPr="00EA2B31">
        <w:rPr>
          <w:rFonts w:ascii="Arial" w:eastAsia="Arial" w:hAnsi="Arial" w:cs="Arial"/>
          <w:i/>
          <w:iCs/>
          <w:lang w:eastAsia="it-IT"/>
        </w:rPr>
        <w:t>qualità</w:t>
      </w:r>
      <w:r w:rsidRPr="00EA2B31">
        <w:rPr>
          <w:rFonts w:ascii="Arial" w:eastAsia="Arial" w:hAnsi="Arial" w:cs="Arial"/>
          <w:i/>
          <w:iCs/>
          <w:lang w:eastAsia="it-IT"/>
        </w:rPr>
        <w:t>,</w:t>
      </w:r>
      <w:r w:rsidR="006454D3" w:rsidRPr="00EA2B31">
        <w:rPr>
          <w:rFonts w:ascii="Arial" w:eastAsia="Arial" w:hAnsi="Arial" w:cs="Arial"/>
          <w:i/>
          <w:iCs/>
          <w:lang w:eastAsia="it-IT"/>
        </w:rPr>
        <w:t xml:space="preserve"> competitività</w:t>
      </w:r>
      <w:r w:rsidRPr="00EA2B31">
        <w:rPr>
          <w:rFonts w:ascii="Arial" w:eastAsia="Arial" w:hAnsi="Arial" w:cs="Arial"/>
          <w:i/>
          <w:iCs/>
          <w:lang w:eastAsia="it-IT"/>
        </w:rPr>
        <w:t xml:space="preserve"> e autonomia strategica”.</w:t>
      </w:r>
    </w:p>
    <w:p w14:paraId="24F24B56" w14:textId="77777777" w:rsidR="00137BBE" w:rsidRPr="00EA2B31" w:rsidRDefault="00137BBE" w:rsidP="00EA2B31">
      <w:pPr>
        <w:pStyle w:val="Paragrafoelenco"/>
        <w:spacing w:after="120" w:line="240" w:lineRule="atLeast"/>
        <w:ind w:left="0"/>
        <w:jc w:val="both"/>
        <w:rPr>
          <w:rFonts w:ascii="Arial" w:eastAsia="Arial" w:hAnsi="Arial" w:cs="Arial"/>
          <w:bCs/>
          <w:i/>
          <w:iCs/>
          <w:lang w:eastAsia="it-IT"/>
        </w:rPr>
      </w:pPr>
    </w:p>
    <w:p w14:paraId="025803AA" w14:textId="762D3E05" w:rsidR="00387262" w:rsidRDefault="009854B6" w:rsidP="00751333">
      <w:pPr>
        <w:pStyle w:val="Paragrafoelenco"/>
        <w:spacing w:after="120" w:line="240" w:lineRule="auto"/>
        <w:ind w:left="0"/>
        <w:jc w:val="both"/>
        <w:rPr>
          <w:rFonts w:ascii="Arial" w:eastAsia="Arial" w:hAnsi="Arial" w:cs="Arial"/>
          <w:i/>
          <w:iCs/>
          <w:lang w:eastAsia="it-IT"/>
        </w:rPr>
      </w:pPr>
      <w:r w:rsidRPr="00EA2B31">
        <w:rPr>
          <w:rFonts w:ascii="Arial" w:eastAsia="Arial" w:hAnsi="Arial" w:cs="Arial"/>
          <w:bCs/>
          <w:i/>
          <w:iCs/>
          <w:lang w:eastAsia="it-IT"/>
        </w:rPr>
        <w:t>“</w:t>
      </w:r>
      <w:r w:rsidRPr="00EA2B31">
        <w:rPr>
          <w:rFonts w:ascii="Arial" w:eastAsia="Arial" w:hAnsi="Arial" w:cs="Arial"/>
          <w:i/>
          <w:iCs/>
          <w:lang w:eastAsia="it-IT"/>
        </w:rPr>
        <w:t xml:space="preserve">Con Takeoff decolla il Paese: siamo davvero orgogliosi dell'accordo raggiunto con CDP Venture Capital per questo programma, unico a livello nazionale per lo sviluppo e il rafforzamento della competitività italiana in un settore strategico e trasversale come l'aerospazio e </w:t>
      </w:r>
      <w:proofErr w:type="spellStart"/>
      <w:r w:rsidRPr="00EA2B31">
        <w:rPr>
          <w:rFonts w:ascii="Arial" w:eastAsia="Arial" w:hAnsi="Arial" w:cs="Arial"/>
          <w:i/>
          <w:iCs/>
          <w:lang w:eastAsia="it-IT"/>
        </w:rPr>
        <w:t>l’advanced</w:t>
      </w:r>
      <w:proofErr w:type="spellEnd"/>
      <w:r w:rsidRPr="00EA2B31">
        <w:rPr>
          <w:rFonts w:ascii="Arial" w:eastAsia="Arial" w:hAnsi="Arial" w:cs="Arial"/>
          <w:i/>
          <w:iCs/>
          <w:lang w:eastAsia="it-IT"/>
        </w:rPr>
        <w:t xml:space="preserve"> hardware</w:t>
      </w:r>
      <w:r w:rsidR="00BC5002" w:rsidRPr="00EA2B31">
        <w:rPr>
          <w:rFonts w:ascii="Arial" w:eastAsia="Arial" w:hAnsi="Arial" w:cs="Arial"/>
          <w:i/>
          <w:iCs/>
          <w:lang w:eastAsia="it-IT"/>
        </w:rPr>
        <w:t>”</w:t>
      </w:r>
      <w:r w:rsidR="00BC5002" w:rsidRPr="00EA2B31">
        <w:rPr>
          <w:rFonts w:ascii="Arial" w:eastAsia="Arial" w:hAnsi="Arial" w:cs="Arial"/>
          <w:lang w:eastAsia="it-IT"/>
        </w:rPr>
        <w:t xml:space="preserve">, </w:t>
      </w:r>
      <w:r w:rsidRPr="00EA2B31">
        <w:rPr>
          <w:rFonts w:ascii="Arial" w:eastAsia="Arial" w:hAnsi="Arial" w:cs="Arial"/>
          <w:lang w:eastAsia="it-IT"/>
        </w:rPr>
        <w:t xml:space="preserve">dichiara </w:t>
      </w:r>
      <w:r w:rsidRPr="00EA2B31">
        <w:rPr>
          <w:rFonts w:ascii="Arial" w:eastAsia="Arial" w:hAnsi="Arial" w:cs="Arial"/>
          <w:b/>
          <w:bCs/>
          <w:lang w:eastAsia="it-IT"/>
        </w:rPr>
        <w:t xml:space="preserve">Massimo </w:t>
      </w:r>
      <w:proofErr w:type="spellStart"/>
      <w:r w:rsidRPr="00EA2B31">
        <w:rPr>
          <w:rFonts w:ascii="Arial" w:eastAsia="Arial" w:hAnsi="Arial" w:cs="Arial"/>
          <w:b/>
          <w:bCs/>
          <w:lang w:eastAsia="it-IT"/>
        </w:rPr>
        <w:t>Lapucci</w:t>
      </w:r>
      <w:proofErr w:type="spellEnd"/>
      <w:r w:rsidRPr="00EA2B31">
        <w:rPr>
          <w:rFonts w:ascii="Arial" w:eastAsia="Arial" w:hAnsi="Arial" w:cs="Arial"/>
          <w:b/>
          <w:bCs/>
          <w:lang w:eastAsia="it-IT"/>
        </w:rPr>
        <w:t>, Segretario Generale di Fondazione CRT e CEO di OGR</w:t>
      </w:r>
      <w:r w:rsidR="00BC5002" w:rsidRPr="00EA2B31">
        <w:rPr>
          <w:rFonts w:ascii="Arial" w:eastAsia="Arial" w:hAnsi="Arial" w:cs="Arial"/>
          <w:lang w:eastAsia="it-IT"/>
        </w:rPr>
        <w:t>,</w:t>
      </w:r>
      <w:r w:rsidRPr="00EA2B31">
        <w:rPr>
          <w:rFonts w:ascii="Arial" w:eastAsia="Arial" w:hAnsi="Arial" w:cs="Arial"/>
          <w:lang w:eastAsia="it-IT"/>
        </w:rPr>
        <w:t xml:space="preserve"> </w:t>
      </w:r>
      <w:r w:rsidR="00BC5002" w:rsidRPr="00EA2B31">
        <w:rPr>
          <w:rFonts w:ascii="Arial" w:eastAsia="Arial" w:hAnsi="Arial" w:cs="Arial"/>
          <w:i/>
          <w:iCs/>
          <w:lang w:eastAsia="it-IT"/>
        </w:rPr>
        <w:t>“</w:t>
      </w:r>
      <w:r w:rsidRPr="00EA2B31">
        <w:rPr>
          <w:rFonts w:ascii="Arial" w:eastAsia="Arial" w:hAnsi="Arial" w:cs="Arial"/>
          <w:i/>
          <w:iCs/>
          <w:lang w:eastAsia="it-IT"/>
        </w:rPr>
        <w:t xml:space="preserve">Nell’hub internazionale di innovazione delle OGR Tech, insieme al </w:t>
      </w:r>
      <w:r w:rsidRPr="00EA2B31">
        <w:rPr>
          <w:rFonts w:ascii="Arial" w:eastAsia="Arial" w:hAnsi="Arial" w:cs="Arial"/>
          <w:lang w:eastAsia="it-IT"/>
        </w:rPr>
        <w:t xml:space="preserve">global </w:t>
      </w:r>
      <w:proofErr w:type="spellStart"/>
      <w:r w:rsidRPr="00EA2B31">
        <w:rPr>
          <w:rFonts w:ascii="Arial" w:eastAsia="Arial" w:hAnsi="Arial" w:cs="Arial"/>
          <w:lang w:eastAsia="it-IT"/>
        </w:rPr>
        <w:t>accelerator</w:t>
      </w:r>
      <w:proofErr w:type="spellEnd"/>
      <w:r w:rsidRPr="00EA2B31">
        <w:rPr>
          <w:rFonts w:ascii="Arial" w:eastAsia="Arial" w:hAnsi="Arial" w:cs="Arial"/>
          <w:i/>
          <w:iCs/>
          <w:lang w:eastAsia="it-IT"/>
        </w:rPr>
        <w:t xml:space="preserve"> Plug </w:t>
      </w:r>
      <w:r w:rsidR="00387262">
        <w:rPr>
          <w:rFonts w:ascii="Arial" w:eastAsia="Arial" w:hAnsi="Arial" w:cs="Arial"/>
          <w:i/>
          <w:iCs/>
          <w:lang w:eastAsia="it-IT"/>
        </w:rPr>
        <w:t>and</w:t>
      </w:r>
      <w:r w:rsidRPr="00EA2B31">
        <w:rPr>
          <w:rFonts w:ascii="Arial" w:eastAsia="Arial" w:hAnsi="Arial" w:cs="Arial"/>
          <w:i/>
          <w:iCs/>
          <w:lang w:eastAsia="it-IT"/>
        </w:rPr>
        <w:t xml:space="preserve"> Play e in sinergia con partner industriali e finanziari di rilevanza nazionale e globale, la Fondazione CRT investe capitali pazienti per attrarre le migliori imprese capaci di proporre idee e realizzare progettualità ad alto potenziale industriale e tecnologico: un percorso virtuoso che valorizza l’ecosistema delle OGR e consolida il territorio come polo europeo</w:t>
      </w:r>
      <w:r w:rsidR="00B3510B" w:rsidRPr="00EA2B31">
        <w:rPr>
          <w:rFonts w:ascii="Arial" w:eastAsia="Arial" w:hAnsi="Arial" w:cs="Arial"/>
          <w:i/>
          <w:iCs/>
          <w:lang w:eastAsia="it-IT"/>
        </w:rPr>
        <w:t xml:space="preserve"> </w:t>
      </w:r>
      <w:r w:rsidRPr="00EA2B31">
        <w:rPr>
          <w:rFonts w:ascii="Arial" w:eastAsia="Arial" w:hAnsi="Arial" w:cs="Arial"/>
          <w:i/>
          <w:iCs/>
          <w:lang w:eastAsia="it-IT"/>
        </w:rPr>
        <w:t xml:space="preserve">dell’aerospazio, della </w:t>
      </w:r>
      <w:proofErr w:type="spellStart"/>
      <w:r w:rsidRPr="00751333">
        <w:rPr>
          <w:rFonts w:ascii="Arial" w:eastAsia="Arial" w:hAnsi="Arial" w:cs="Arial"/>
          <w:i/>
          <w:iCs/>
          <w:lang w:eastAsia="it-IT"/>
        </w:rPr>
        <w:t>vertical</w:t>
      </w:r>
      <w:proofErr w:type="spellEnd"/>
      <w:r w:rsidRPr="00751333">
        <w:rPr>
          <w:rFonts w:ascii="Arial" w:eastAsia="Arial" w:hAnsi="Arial" w:cs="Arial"/>
          <w:i/>
          <w:iCs/>
          <w:lang w:eastAsia="it-IT"/>
        </w:rPr>
        <w:t xml:space="preserve"> </w:t>
      </w:r>
      <w:proofErr w:type="spellStart"/>
      <w:r w:rsidRPr="00751333">
        <w:rPr>
          <w:rFonts w:ascii="Arial" w:eastAsia="Arial" w:hAnsi="Arial" w:cs="Arial"/>
          <w:i/>
          <w:iCs/>
          <w:lang w:eastAsia="it-IT"/>
        </w:rPr>
        <w:t>mobility</w:t>
      </w:r>
      <w:proofErr w:type="spellEnd"/>
      <w:r w:rsidRPr="00EA2B31">
        <w:rPr>
          <w:rFonts w:ascii="Arial" w:eastAsia="Arial" w:hAnsi="Arial" w:cs="Arial"/>
          <w:i/>
          <w:iCs/>
          <w:lang w:eastAsia="it-IT"/>
        </w:rPr>
        <w:t xml:space="preserve"> e del manifatturiero avanzato, creando valore per il sistema Paese”.</w:t>
      </w:r>
    </w:p>
    <w:p w14:paraId="40B13AC8" w14:textId="77777777" w:rsidR="00751333" w:rsidRDefault="00751333" w:rsidP="00751333">
      <w:pPr>
        <w:pStyle w:val="Paragrafoelenco"/>
        <w:spacing w:after="120" w:line="240" w:lineRule="auto"/>
        <w:ind w:left="0"/>
        <w:jc w:val="both"/>
        <w:rPr>
          <w:rFonts w:ascii="Arial" w:eastAsia="Arial" w:hAnsi="Arial" w:cs="Arial"/>
          <w:i/>
          <w:iCs/>
          <w:lang w:eastAsia="it-IT"/>
        </w:rPr>
      </w:pPr>
    </w:p>
    <w:p w14:paraId="70FB6BE5" w14:textId="76528D46" w:rsidR="00387262" w:rsidRDefault="00387262" w:rsidP="00751333">
      <w:pPr>
        <w:spacing w:line="240" w:lineRule="auto"/>
        <w:jc w:val="both"/>
        <w:rPr>
          <w:i/>
          <w:iCs/>
          <w:lang w:val="it-IT"/>
        </w:rPr>
      </w:pPr>
      <w:r>
        <w:rPr>
          <w:i/>
          <w:iCs/>
          <w:lang w:val="it-IT"/>
        </w:rPr>
        <w:t>“</w:t>
      </w:r>
      <w:r w:rsidRPr="00387262">
        <w:rPr>
          <w:i/>
          <w:iCs/>
          <w:lang w:val="it-IT"/>
        </w:rPr>
        <w:t>Takeoff si inserisce all’interno del processo di trasformazione economica del Paese che ci vede parte attiva insieme alle Fondazioni di origine bancaria</w:t>
      </w:r>
      <w:r w:rsidR="000E44AE">
        <w:rPr>
          <w:i/>
          <w:iCs/>
          <w:lang w:val="it-IT"/>
        </w:rPr>
        <w:t>”,</w:t>
      </w:r>
      <w:r w:rsidRPr="00387262">
        <w:rPr>
          <w:i/>
          <w:iCs/>
          <w:lang w:val="it-IT"/>
        </w:rPr>
        <w:t xml:space="preserve"> </w:t>
      </w:r>
      <w:r w:rsidRPr="000E44AE">
        <w:rPr>
          <w:lang w:val="it-IT"/>
        </w:rPr>
        <w:t>dichiara</w:t>
      </w:r>
      <w:r w:rsidRPr="00387262">
        <w:rPr>
          <w:i/>
          <w:iCs/>
          <w:lang w:val="it-IT"/>
        </w:rPr>
        <w:t xml:space="preserve"> </w:t>
      </w:r>
      <w:r w:rsidRPr="000E44AE">
        <w:rPr>
          <w:b/>
          <w:bCs/>
          <w:lang w:val="it-IT"/>
        </w:rPr>
        <w:t xml:space="preserve">Niccolò </w:t>
      </w:r>
      <w:proofErr w:type="spellStart"/>
      <w:r w:rsidRPr="000E44AE">
        <w:rPr>
          <w:b/>
          <w:bCs/>
          <w:lang w:val="it-IT"/>
        </w:rPr>
        <w:t>Ubertalli</w:t>
      </w:r>
      <w:proofErr w:type="spellEnd"/>
      <w:r w:rsidRPr="000E44AE">
        <w:rPr>
          <w:b/>
          <w:bCs/>
          <w:lang w:val="it-IT"/>
        </w:rPr>
        <w:t>, Responsabile UniCredit Italia</w:t>
      </w:r>
      <w:r w:rsidRPr="00387262">
        <w:rPr>
          <w:i/>
          <w:iCs/>
          <w:lang w:val="it-IT"/>
        </w:rPr>
        <w:t xml:space="preserve">. </w:t>
      </w:r>
      <w:r w:rsidR="000E44AE">
        <w:rPr>
          <w:i/>
          <w:iCs/>
          <w:lang w:val="it-IT"/>
        </w:rPr>
        <w:t>“</w:t>
      </w:r>
      <w:r w:rsidRPr="00387262">
        <w:rPr>
          <w:i/>
          <w:iCs/>
          <w:lang w:val="it-IT"/>
        </w:rPr>
        <w:t>E’ frutto della relazione positiva di UniCredit con il gruppo Cassa Depositi e Prestiti e con gli altri enti e associazioni con cui interagiamo con l’obiettivo della crescita sostenibile, rappresentando un investimento concreto a sostegno di un territorio, fortemente orientato alla cultura dell’innovazione. Ci consente inoltre di rafforzare ulteriormente il rapporto di stretta collaborazione con la Fondazione CRT, valorizzando anche gli investimenti già compiuti in OGR - Officine Grandi Riparazioni, come hub dedicato all’innovazione ed all’accelerazione di impresa in cui UniCredit ha un ruolo importante anche nella sua qualità di azionista. Confermiamo così il nostro ruolo di Banca fortemente attenta al territorio, alle sue dinamiche e alle sue eccellenze, peraltro in una regione come il Piemonte da sempre all’avanguardia nel campo della produzione innovativa</w:t>
      </w:r>
      <w:r w:rsidR="00751333">
        <w:rPr>
          <w:i/>
          <w:iCs/>
          <w:lang w:val="it-IT"/>
        </w:rPr>
        <w:t>”</w:t>
      </w:r>
      <w:r w:rsidRPr="00387262">
        <w:rPr>
          <w:i/>
          <w:iCs/>
          <w:lang w:val="it-IT"/>
        </w:rPr>
        <w:t>.</w:t>
      </w:r>
    </w:p>
    <w:p w14:paraId="5802B103" w14:textId="77777777" w:rsidR="00751333" w:rsidRPr="00751333" w:rsidRDefault="00751333" w:rsidP="00751333">
      <w:pPr>
        <w:spacing w:line="240" w:lineRule="auto"/>
        <w:jc w:val="both"/>
        <w:rPr>
          <w:i/>
          <w:iCs/>
          <w:lang w:val="it-IT"/>
        </w:rPr>
      </w:pPr>
    </w:p>
    <w:p w14:paraId="0ECE3830" w14:textId="0707B77D" w:rsidR="000345D4" w:rsidRDefault="00BC5002" w:rsidP="00751333">
      <w:pPr>
        <w:spacing w:after="120" w:line="240" w:lineRule="auto"/>
        <w:jc w:val="both"/>
        <w:rPr>
          <w:lang w:val="it-IT"/>
        </w:rPr>
      </w:pPr>
      <w:r w:rsidRPr="00EA2B31">
        <w:rPr>
          <w:i/>
          <w:iCs/>
          <w:lang w:val="it-IT"/>
        </w:rPr>
        <w:t xml:space="preserve">"Nel processo di digitalizzazione sappiamo che l'Italia ha ancora molto terreno da recuperare a livello mondiale </w:t>
      </w:r>
      <w:proofErr w:type="gramStart"/>
      <w:r w:rsidRPr="00EA2B31">
        <w:rPr>
          <w:i/>
          <w:iCs/>
          <w:lang w:val="it-IT"/>
        </w:rPr>
        <w:t>e</w:t>
      </w:r>
      <w:proofErr w:type="gramEnd"/>
      <w:r w:rsidRPr="00EA2B31">
        <w:rPr>
          <w:i/>
          <w:iCs/>
          <w:lang w:val="it-IT"/>
        </w:rPr>
        <w:t xml:space="preserve"> europeo, ma ora che questa trasformazione sta coinvolgendo sempre più anche i settori industriali legati all'hardware possiamo far leva sui punti di forza che da sempre caratterizzano il nostro Paese. Nell'aerospazio più che in qualsiasi altro settore dobbiamo pensare in grande e il compito di Plug and Play è proprio portare questa mentalità ambiziosa dalla Silicon Valley a Torino"</w:t>
      </w:r>
      <w:r w:rsidRPr="00EA2B31">
        <w:rPr>
          <w:lang w:val="it-IT"/>
        </w:rPr>
        <w:t xml:space="preserve"> commenta </w:t>
      </w:r>
      <w:r w:rsidRPr="00EA2B31">
        <w:rPr>
          <w:b/>
          <w:bCs/>
          <w:lang w:val="it-IT"/>
        </w:rPr>
        <w:t xml:space="preserve">Andrea Zorzetto, </w:t>
      </w:r>
      <w:proofErr w:type="spellStart"/>
      <w:r w:rsidRPr="00EA2B31">
        <w:rPr>
          <w:b/>
          <w:bCs/>
          <w:lang w:val="it-IT"/>
        </w:rPr>
        <w:t>Managing</w:t>
      </w:r>
      <w:proofErr w:type="spellEnd"/>
      <w:r w:rsidRPr="00EA2B31">
        <w:rPr>
          <w:b/>
          <w:bCs/>
          <w:lang w:val="it-IT"/>
        </w:rPr>
        <w:t xml:space="preserve"> Partner di Plug and Play Italia</w:t>
      </w:r>
      <w:r w:rsidR="000345D4">
        <w:rPr>
          <w:b/>
          <w:bCs/>
          <w:lang w:val="it-IT"/>
        </w:rPr>
        <w:t>”</w:t>
      </w:r>
      <w:r w:rsidRPr="00EA2B31">
        <w:rPr>
          <w:lang w:val="it-IT"/>
        </w:rPr>
        <w:t>.</w:t>
      </w:r>
      <w:r w:rsidR="000345D4">
        <w:rPr>
          <w:lang w:val="it-IT"/>
        </w:rPr>
        <w:t xml:space="preserve"> </w:t>
      </w:r>
    </w:p>
    <w:p w14:paraId="0000000C" w14:textId="6D025D9D" w:rsidR="00A35B9D" w:rsidRPr="00EA2B31" w:rsidRDefault="000E4049" w:rsidP="00751333">
      <w:pPr>
        <w:spacing w:after="120" w:line="240" w:lineRule="auto"/>
        <w:jc w:val="both"/>
        <w:rPr>
          <w:bCs/>
          <w:lang w:val="it-IT"/>
        </w:rPr>
      </w:pPr>
      <w:r w:rsidRPr="00EA2B31">
        <w:rPr>
          <w:bCs/>
          <w:lang w:val="it-IT"/>
        </w:rPr>
        <w:lastRenderedPageBreak/>
        <w:t xml:space="preserve">Takeoff avrà sede presso OGR </w:t>
      </w:r>
      <w:r w:rsidR="00F561FA" w:rsidRPr="00EA2B31">
        <w:rPr>
          <w:bCs/>
          <w:lang w:val="it-IT"/>
        </w:rPr>
        <w:t>Tech</w:t>
      </w:r>
      <w:r w:rsidRPr="00EA2B31">
        <w:rPr>
          <w:bCs/>
          <w:lang w:val="it-IT"/>
        </w:rPr>
        <w:t xml:space="preserve">, </w:t>
      </w:r>
      <w:r w:rsidR="00F561FA" w:rsidRPr="00EA2B31">
        <w:rPr>
          <w:bCs/>
          <w:lang w:val="it-IT"/>
        </w:rPr>
        <w:t xml:space="preserve">hub dedicato all’innovazione e all’accelerazione di impresa in cui sono già attivi 11 percorsi dedicati al supporto di startup, </w:t>
      </w:r>
      <w:proofErr w:type="spellStart"/>
      <w:r w:rsidR="00F561FA" w:rsidRPr="00EA2B31">
        <w:rPr>
          <w:bCs/>
          <w:lang w:val="it-IT"/>
        </w:rPr>
        <w:t>scaleup</w:t>
      </w:r>
      <w:proofErr w:type="spellEnd"/>
      <w:r w:rsidR="00F561FA" w:rsidRPr="00EA2B31">
        <w:rPr>
          <w:bCs/>
          <w:lang w:val="it-IT"/>
        </w:rPr>
        <w:t xml:space="preserve"> e PMI in collaborazione con corporate e investitori nazionali e internazionali, </w:t>
      </w:r>
      <w:r w:rsidRPr="00EA2B31">
        <w:rPr>
          <w:bCs/>
          <w:lang w:val="it-IT"/>
        </w:rPr>
        <w:t>e potrà essere seguito dalle startup partecipanti in modalità ibrida</w:t>
      </w:r>
      <w:r w:rsidR="005E3090" w:rsidRPr="00EA2B31">
        <w:rPr>
          <w:bCs/>
          <w:lang w:val="it-IT"/>
        </w:rPr>
        <w:t xml:space="preserve">, sia </w:t>
      </w:r>
      <w:r w:rsidRPr="00EA2B31">
        <w:rPr>
          <w:bCs/>
          <w:lang w:val="it-IT"/>
        </w:rPr>
        <w:t xml:space="preserve">fisica </w:t>
      </w:r>
      <w:r w:rsidR="005E3090" w:rsidRPr="00EA2B31">
        <w:rPr>
          <w:bCs/>
          <w:lang w:val="it-IT"/>
        </w:rPr>
        <w:t>sia</w:t>
      </w:r>
      <w:r w:rsidRPr="00EA2B31">
        <w:rPr>
          <w:bCs/>
          <w:lang w:val="it-IT"/>
        </w:rPr>
        <w:t xml:space="preserve"> digitale.</w:t>
      </w:r>
    </w:p>
    <w:p w14:paraId="0000000D" w14:textId="30AE6F94" w:rsidR="00A35B9D" w:rsidRPr="00EA2B31" w:rsidRDefault="000E4049" w:rsidP="00EA2B31">
      <w:pPr>
        <w:spacing w:after="120" w:line="240" w:lineRule="atLeast"/>
        <w:jc w:val="both"/>
        <w:rPr>
          <w:bCs/>
          <w:lang w:val="it-IT"/>
        </w:rPr>
      </w:pPr>
      <w:r w:rsidRPr="00EA2B31">
        <w:rPr>
          <w:bCs/>
          <w:lang w:val="it-IT"/>
        </w:rPr>
        <w:t xml:space="preserve">La call per la selezione delle prime 10 startup è aperta fino al </w:t>
      </w:r>
      <w:r w:rsidR="00022BAD" w:rsidRPr="00EA2B31">
        <w:rPr>
          <w:bCs/>
          <w:lang w:val="it-IT"/>
        </w:rPr>
        <w:t>25</w:t>
      </w:r>
      <w:r w:rsidRPr="00EA2B31">
        <w:rPr>
          <w:bCs/>
          <w:lang w:val="it-IT"/>
        </w:rPr>
        <w:t xml:space="preserve"> maggio 2022 </w:t>
      </w:r>
      <w:r w:rsidR="00403DED">
        <w:rPr>
          <w:bCs/>
          <w:lang w:val="it-IT"/>
        </w:rPr>
        <w:t>al</w:t>
      </w:r>
      <w:r w:rsidRPr="00EA2B31">
        <w:rPr>
          <w:bCs/>
          <w:lang w:val="it-IT"/>
        </w:rPr>
        <w:t xml:space="preserve"> sito</w:t>
      </w:r>
      <w:r w:rsidR="00C451FF" w:rsidRPr="00EA2B31">
        <w:rPr>
          <w:b/>
          <w:color w:val="0B4CB4"/>
          <w:u w:val="single"/>
          <w:lang w:val="it-IT"/>
        </w:rPr>
        <w:t xml:space="preserve"> takeoffaccelerator.com</w:t>
      </w:r>
      <w:bookmarkStart w:id="1" w:name="_Hlk99002611"/>
      <w:r w:rsidR="00426906" w:rsidRPr="00EA2B31">
        <w:rPr>
          <w:bCs/>
          <w:lang w:val="it-IT"/>
        </w:rPr>
        <w:t xml:space="preserve">: possono candidarsi </w:t>
      </w:r>
      <w:r w:rsidRPr="00EA2B31">
        <w:rPr>
          <w:bCs/>
          <w:lang w:val="it-IT"/>
        </w:rPr>
        <w:t>startup italiane e internazionali che intendano aprire una sede legale in Italia.</w:t>
      </w:r>
      <w:bookmarkEnd w:id="1"/>
    </w:p>
    <w:p w14:paraId="0000000E" w14:textId="001E7F1A" w:rsidR="00A35B9D" w:rsidRDefault="00A35B9D">
      <w:pPr>
        <w:spacing w:after="120"/>
        <w:jc w:val="both"/>
        <w:rPr>
          <w:sz w:val="17"/>
          <w:szCs w:val="17"/>
          <w:lang w:val="it-IT"/>
        </w:rPr>
      </w:pPr>
    </w:p>
    <w:p w14:paraId="0000000F" w14:textId="12E64998" w:rsidR="00A35B9D" w:rsidRPr="003C4D6D" w:rsidRDefault="003C4D6D" w:rsidP="003C4D6D">
      <w:pPr>
        <w:spacing w:after="120"/>
        <w:jc w:val="center"/>
        <w:rPr>
          <w:b/>
          <w:bCs/>
          <w:lang w:val="it-IT"/>
        </w:rPr>
      </w:pPr>
      <w:r w:rsidRPr="003C4D6D">
        <w:rPr>
          <w:b/>
          <w:bCs/>
          <w:lang w:val="it-IT"/>
        </w:rPr>
        <w:t>***</w:t>
      </w:r>
    </w:p>
    <w:p w14:paraId="00000010" w14:textId="77777777" w:rsidR="00A35B9D" w:rsidRPr="00EA2B31" w:rsidRDefault="00A35B9D">
      <w:pPr>
        <w:spacing w:after="120"/>
        <w:jc w:val="center"/>
        <w:rPr>
          <w:sz w:val="21"/>
          <w:szCs w:val="21"/>
          <w:lang w:val="it-IT"/>
        </w:rPr>
      </w:pPr>
    </w:p>
    <w:p w14:paraId="00000011" w14:textId="77777777" w:rsidR="00A35B9D" w:rsidRPr="00EA2B31" w:rsidRDefault="000E4049">
      <w:pPr>
        <w:jc w:val="both"/>
        <w:rPr>
          <w:b/>
          <w:sz w:val="14"/>
          <w:szCs w:val="14"/>
          <w:lang w:val="it-IT"/>
        </w:rPr>
      </w:pPr>
      <w:r w:rsidRPr="00EA2B31">
        <w:rPr>
          <w:b/>
          <w:sz w:val="14"/>
          <w:szCs w:val="14"/>
          <w:lang w:val="it-IT"/>
        </w:rPr>
        <w:t xml:space="preserve">CDP Venture Capital SGR </w:t>
      </w:r>
    </w:p>
    <w:p w14:paraId="00000012" w14:textId="77777777" w:rsidR="00A35B9D" w:rsidRPr="00EA2B31" w:rsidRDefault="000E4049">
      <w:pPr>
        <w:jc w:val="both"/>
        <w:rPr>
          <w:sz w:val="14"/>
          <w:szCs w:val="14"/>
          <w:lang w:val="it-IT"/>
        </w:rPr>
      </w:pPr>
      <w:r w:rsidRPr="00EA2B31">
        <w:rPr>
          <w:sz w:val="14"/>
          <w:szCs w:val="14"/>
          <w:lang w:val="it-IT"/>
        </w:rPr>
        <w:t>CDP Venture Capital è una SGR (70% di CDP Equity e 30% di Invitalia) con oltre 1,6 miliardi di euro di risorse in gestione. Ha l’obiettivo di rendere il Venture Capital un asse portante dello sviluppo economico e dell’innovazione del Paese, creando i presupposti per una crescita complessiva e sostenibile dell’ecosistema Venture Capital. Opera con una serie di fondi che ambiscono a supportare le startup in tutte le loro fase di vita, realizzando investimenti sia diretti che indiretti.</w:t>
      </w:r>
    </w:p>
    <w:p w14:paraId="585F8FAE" w14:textId="77777777" w:rsidR="000D22DE" w:rsidRPr="00EA2B31" w:rsidRDefault="000D22DE" w:rsidP="000D22DE">
      <w:pPr>
        <w:rPr>
          <w:sz w:val="14"/>
          <w:szCs w:val="14"/>
          <w:lang w:val="it-IT"/>
        </w:rPr>
      </w:pPr>
    </w:p>
    <w:p w14:paraId="08AED99F" w14:textId="342707B6" w:rsidR="000D22DE" w:rsidRPr="00EA2B31" w:rsidRDefault="000D22DE" w:rsidP="000D22DE">
      <w:pPr>
        <w:rPr>
          <w:b/>
          <w:sz w:val="14"/>
          <w:szCs w:val="14"/>
          <w:lang w:val="it-IT"/>
        </w:rPr>
      </w:pPr>
      <w:r w:rsidRPr="00EA2B31">
        <w:rPr>
          <w:b/>
          <w:sz w:val="14"/>
          <w:szCs w:val="14"/>
          <w:lang w:val="it-IT"/>
        </w:rPr>
        <w:t>Fondazione CRT</w:t>
      </w:r>
    </w:p>
    <w:p w14:paraId="36DF6B60" w14:textId="77777777" w:rsidR="000D22DE" w:rsidRPr="00EA2B31" w:rsidRDefault="000D22DE" w:rsidP="00F67642">
      <w:pPr>
        <w:jc w:val="both"/>
        <w:rPr>
          <w:sz w:val="14"/>
          <w:szCs w:val="14"/>
          <w:lang w:val="it-IT"/>
        </w:rPr>
      </w:pPr>
      <w:r w:rsidRPr="00EA2B31">
        <w:rPr>
          <w:sz w:val="14"/>
          <w:szCs w:val="14"/>
          <w:lang w:val="it-IT"/>
        </w:rPr>
        <w:t xml:space="preserve">Nata nel 1991, è la terza Fondazione di origine bancaria italiana per entità del patrimonio. Ha erogato più di 2 miliardi di euro per oltre 40.000 progetti per la ricerca, la cultura, il welfare, l’ambiente, l’innovazione nel Nord Ovest in ottica Paese. La Fondazione sperimenta anche interventi nella logica della venture </w:t>
      </w:r>
      <w:proofErr w:type="spellStart"/>
      <w:r w:rsidRPr="00EA2B31">
        <w:rPr>
          <w:sz w:val="14"/>
          <w:szCs w:val="14"/>
          <w:lang w:val="it-IT"/>
        </w:rPr>
        <w:t>philanthropy</w:t>
      </w:r>
      <w:proofErr w:type="spellEnd"/>
      <w:r w:rsidRPr="00EA2B31">
        <w:rPr>
          <w:sz w:val="14"/>
          <w:szCs w:val="14"/>
          <w:lang w:val="it-IT"/>
        </w:rPr>
        <w:t xml:space="preserve"> e dell’impact </w:t>
      </w:r>
      <w:proofErr w:type="spellStart"/>
      <w:r w:rsidRPr="00EA2B31">
        <w:rPr>
          <w:sz w:val="14"/>
          <w:szCs w:val="14"/>
          <w:lang w:val="it-IT"/>
        </w:rPr>
        <w:t>investing</w:t>
      </w:r>
      <w:proofErr w:type="spellEnd"/>
      <w:r w:rsidRPr="00EA2B31">
        <w:rPr>
          <w:sz w:val="14"/>
          <w:szCs w:val="14"/>
          <w:lang w:val="it-IT"/>
        </w:rPr>
        <w:t>, per un impatto sociale e ambientale: un esempio a livello europeo è la rigenerazione urbana delle OGR Torino, le ex Officine dei treni riqualificate dalla Fondazione e riconvertite in un innovativo polo internazionale di creatività e innovazione.</w:t>
      </w:r>
    </w:p>
    <w:p w14:paraId="00000013" w14:textId="5DF73E4D" w:rsidR="00A35B9D" w:rsidRPr="00EA2B31" w:rsidRDefault="00A35B9D">
      <w:pPr>
        <w:jc w:val="both"/>
        <w:rPr>
          <w:lang w:val="it-IT"/>
        </w:rPr>
      </w:pPr>
    </w:p>
    <w:p w14:paraId="66403606" w14:textId="77777777" w:rsidR="002652F8" w:rsidRPr="00EA2B31" w:rsidRDefault="002652F8" w:rsidP="002652F8">
      <w:pPr>
        <w:spacing w:line="240" w:lineRule="auto"/>
        <w:jc w:val="both"/>
        <w:rPr>
          <w:rFonts w:eastAsia="Times New Roman"/>
          <w:b/>
          <w:bCs/>
          <w:color w:val="000000"/>
          <w:sz w:val="18"/>
          <w:szCs w:val="18"/>
          <w:lang w:val="it-IT"/>
        </w:rPr>
      </w:pPr>
      <w:r w:rsidRPr="00EA2B31">
        <w:rPr>
          <w:b/>
          <w:bCs/>
          <w:sz w:val="14"/>
          <w:szCs w:val="14"/>
          <w:lang w:val="it-IT"/>
        </w:rPr>
        <w:t>UniCredit</w:t>
      </w:r>
    </w:p>
    <w:p w14:paraId="4865795E" w14:textId="77777777" w:rsidR="002652F8" w:rsidRPr="00EA2B31" w:rsidRDefault="002652F8" w:rsidP="002652F8">
      <w:pPr>
        <w:pStyle w:val="NormaleWeb"/>
        <w:shd w:val="clear" w:color="auto" w:fill="FFFFFF"/>
        <w:spacing w:before="0" w:beforeAutospacing="0" w:after="0" w:afterAutospacing="0"/>
        <w:jc w:val="both"/>
        <w:rPr>
          <w:rFonts w:ascii="Arial" w:hAnsi="Arial" w:cs="Arial"/>
          <w:color w:val="000000"/>
          <w:sz w:val="14"/>
          <w:szCs w:val="14"/>
          <w:lang w:val="it-IT" w:eastAsia="it-IT"/>
        </w:rPr>
      </w:pPr>
      <w:r w:rsidRPr="00EA2B31">
        <w:rPr>
          <w:rFonts w:ascii="Arial" w:eastAsia="Arial" w:hAnsi="Arial" w:cs="Arial"/>
          <w:sz w:val="14"/>
          <w:szCs w:val="14"/>
          <w:lang w:val="it-IT" w:eastAsia="it-IT"/>
        </w:rPr>
        <w:t>UniCredit</w:t>
      </w:r>
      <w:r w:rsidRPr="00EA2B31">
        <w:rPr>
          <w:rFonts w:ascii="Arial" w:hAnsi="Arial" w:cs="Arial"/>
          <w:color w:val="000000"/>
          <w:sz w:val="14"/>
          <w:szCs w:val="14"/>
          <w:lang w:val="it-IT" w:eastAsia="it-IT"/>
        </w:rPr>
        <w:t xml:space="preserve"> è una </w:t>
      </w:r>
      <w:r w:rsidRPr="00EA2B31">
        <w:rPr>
          <w:rFonts w:ascii="Arial" w:hAnsi="Arial" w:cs="Arial"/>
          <w:b/>
          <w:bCs/>
          <w:color w:val="000000"/>
          <w:sz w:val="14"/>
          <w:szCs w:val="14"/>
          <w:lang w:val="it-IT" w:eastAsia="it-IT"/>
        </w:rPr>
        <w:t>banca commerciale pan-europea</w:t>
      </w:r>
      <w:r w:rsidRPr="00EA2B31">
        <w:rPr>
          <w:rFonts w:ascii="Arial" w:hAnsi="Arial" w:cs="Arial"/>
          <w:color w:val="000000"/>
          <w:sz w:val="14"/>
          <w:szCs w:val="14"/>
          <w:lang w:val="it-IT" w:eastAsia="it-IT"/>
        </w:rPr>
        <w:t> con un modello di servizio unico nel suo genere in </w:t>
      </w:r>
      <w:r w:rsidRPr="00EA2B31">
        <w:rPr>
          <w:rFonts w:ascii="Arial" w:hAnsi="Arial" w:cs="Arial"/>
          <w:b/>
          <w:bCs/>
          <w:color w:val="000000"/>
          <w:sz w:val="14"/>
          <w:szCs w:val="14"/>
          <w:lang w:val="it-IT" w:eastAsia="it-IT"/>
        </w:rPr>
        <w:t>Italia, Germania, Europa Centrale e Orientale</w:t>
      </w:r>
      <w:r w:rsidRPr="00EA2B31">
        <w:rPr>
          <w:rFonts w:ascii="Arial" w:hAnsi="Arial" w:cs="Arial"/>
          <w:color w:val="000000"/>
          <w:sz w:val="14"/>
          <w:szCs w:val="14"/>
          <w:lang w:val="it-IT" w:eastAsia="it-IT"/>
        </w:rPr>
        <w:t xml:space="preserve">. Il </w:t>
      </w:r>
      <w:r w:rsidRPr="00EA2B31">
        <w:rPr>
          <w:rFonts w:ascii="Arial" w:eastAsia="Arial" w:hAnsi="Arial" w:cs="Arial"/>
          <w:sz w:val="14"/>
          <w:szCs w:val="14"/>
          <w:lang w:val="it-IT" w:eastAsia="it-IT"/>
        </w:rPr>
        <w:t>nostro</w:t>
      </w:r>
      <w:r w:rsidRPr="00EA2B31">
        <w:rPr>
          <w:rFonts w:ascii="Arial" w:hAnsi="Arial" w:cs="Arial"/>
          <w:color w:val="000000"/>
          <w:sz w:val="14"/>
          <w:szCs w:val="14"/>
          <w:lang w:val="it-IT" w:eastAsia="it-IT"/>
        </w:rPr>
        <w:t xml:space="preserve"> obiettivo primario è dare alle nostre comunità le leve per il progresso, offrendo il meglio a tutti gli stakeholder e liberando il potenziale dei nostri clienti e delle nostre persone in tutta Europa.</w:t>
      </w:r>
    </w:p>
    <w:p w14:paraId="77EDE848" w14:textId="77777777" w:rsidR="002652F8" w:rsidRPr="00EA2B31" w:rsidRDefault="002652F8" w:rsidP="002652F8">
      <w:pPr>
        <w:pStyle w:val="NormaleWeb"/>
        <w:shd w:val="clear" w:color="auto" w:fill="FFFFFF"/>
        <w:spacing w:before="0" w:beforeAutospacing="0" w:after="0" w:afterAutospacing="0"/>
        <w:jc w:val="both"/>
        <w:rPr>
          <w:rFonts w:ascii="Arial" w:hAnsi="Arial" w:cs="Arial"/>
          <w:color w:val="000000"/>
          <w:sz w:val="14"/>
          <w:szCs w:val="14"/>
          <w:lang w:val="it-IT" w:eastAsia="it-IT"/>
        </w:rPr>
      </w:pPr>
      <w:r w:rsidRPr="00EA2B31">
        <w:rPr>
          <w:rFonts w:ascii="Arial" w:hAnsi="Arial" w:cs="Arial"/>
          <w:color w:val="000000"/>
          <w:sz w:val="14"/>
          <w:szCs w:val="14"/>
          <w:lang w:val="it-IT" w:eastAsia="it-IT"/>
        </w:rPr>
        <w:t> Serviamo oltre </w:t>
      </w:r>
      <w:r w:rsidRPr="00EA2B31">
        <w:rPr>
          <w:rFonts w:ascii="Arial" w:hAnsi="Arial" w:cs="Arial"/>
          <w:b/>
          <w:bCs/>
          <w:color w:val="000000"/>
          <w:sz w:val="14"/>
          <w:szCs w:val="14"/>
          <w:lang w:val="it-IT" w:eastAsia="it-IT"/>
        </w:rPr>
        <w:t>15 milioni di clienti</w:t>
      </w:r>
      <w:r w:rsidRPr="00EA2B31">
        <w:rPr>
          <w:rFonts w:ascii="Arial" w:hAnsi="Arial" w:cs="Arial"/>
          <w:color w:val="000000"/>
          <w:sz w:val="14"/>
          <w:szCs w:val="14"/>
          <w:lang w:val="it-IT" w:eastAsia="it-IT"/>
        </w:rPr>
        <w:t xml:space="preserve">, che sono al centro di ciò che facciamo in tutti i nostri mercati. UniCredit è organizzata in quattro macroaree geografiche principali e due fabbriche prodotto, Corporate e </w:t>
      </w:r>
      <w:proofErr w:type="spellStart"/>
      <w:r w:rsidRPr="00EA2B31">
        <w:rPr>
          <w:rFonts w:ascii="Arial" w:hAnsi="Arial" w:cs="Arial"/>
          <w:color w:val="000000"/>
          <w:sz w:val="14"/>
          <w:szCs w:val="14"/>
          <w:lang w:val="it-IT" w:eastAsia="it-IT"/>
        </w:rPr>
        <w:t>Individual</w:t>
      </w:r>
      <w:proofErr w:type="spellEnd"/>
      <w:r w:rsidRPr="00EA2B31">
        <w:rPr>
          <w:rFonts w:ascii="Arial" w:hAnsi="Arial" w:cs="Arial"/>
          <w:color w:val="000000"/>
          <w:sz w:val="14"/>
          <w:szCs w:val="14"/>
          <w:lang w:val="it-IT" w:eastAsia="it-IT"/>
        </w:rPr>
        <w:t xml:space="preserve"> Solutions. Questo ci permette di essere vicini ai nostri clienti facendo leva sulla scala del Gruppo per offrire una gamma completa di prodotti.</w:t>
      </w:r>
    </w:p>
    <w:p w14:paraId="7CF509E3" w14:textId="77777777" w:rsidR="002652F8" w:rsidRPr="00EA2B31" w:rsidRDefault="002652F8" w:rsidP="002652F8">
      <w:pPr>
        <w:pStyle w:val="NormaleWeb"/>
        <w:shd w:val="clear" w:color="auto" w:fill="FFFFFF"/>
        <w:spacing w:before="0" w:beforeAutospacing="0" w:after="0" w:afterAutospacing="0"/>
        <w:jc w:val="both"/>
        <w:rPr>
          <w:rFonts w:ascii="Arial" w:hAnsi="Arial" w:cs="Arial"/>
          <w:color w:val="000000"/>
          <w:sz w:val="14"/>
          <w:szCs w:val="14"/>
          <w:lang w:val="it-IT" w:eastAsia="it-IT"/>
        </w:rPr>
      </w:pPr>
      <w:r w:rsidRPr="00EA2B31">
        <w:rPr>
          <w:rFonts w:ascii="Arial" w:hAnsi="Arial" w:cs="Arial"/>
          <w:b/>
          <w:bCs/>
          <w:color w:val="000000"/>
          <w:sz w:val="14"/>
          <w:szCs w:val="14"/>
          <w:lang w:val="it-IT" w:eastAsia="it-IT"/>
        </w:rPr>
        <w:t>La digitalizzazione</w:t>
      </w:r>
      <w:r w:rsidRPr="00EA2B31">
        <w:rPr>
          <w:rFonts w:ascii="Arial" w:hAnsi="Arial" w:cs="Arial"/>
          <w:color w:val="000000"/>
          <w:sz w:val="14"/>
          <w:szCs w:val="14"/>
          <w:lang w:val="it-IT" w:eastAsia="it-IT"/>
        </w:rPr>
        <w:t> e il nostro impegno nei confronti dei principi </w:t>
      </w:r>
      <w:r w:rsidRPr="00EA2B31">
        <w:rPr>
          <w:rFonts w:ascii="Arial" w:hAnsi="Arial" w:cs="Arial"/>
          <w:b/>
          <w:bCs/>
          <w:color w:val="000000"/>
          <w:sz w:val="14"/>
          <w:szCs w:val="14"/>
          <w:lang w:val="it-IT" w:eastAsia="it-IT"/>
        </w:rPr>
        <w:t>ESG</w:t>
      </w:r>
      <w:r w:rsidRPr="00EA2B31">
        <w:rPr>
          <w:rFonts w:ascii="Arial" w:hAnsi="Arial" w:cs="Arial"/>
          <w:color w:val="000000"/>
          <w:sz w:val="14"/>
          <w:szCs w:val="14"/>
          <w:lang w:val="it-IT" w:eastAsia="it-IT"/>
        </w:rPr>
        <w:t> sono fattori chiave per il servizio che offriamo. Ci aiutano a garantire eccellenza ai nostri stakeholder e a creare un futuro sostenibile per i nostri clienti, le nostre comunità e le nostre persone.</w:t>
      </w:r>
    </w:p>
    <w:p w14:paraId="5F8953DB" w14:textId="77777777" w:rsidR="002652F8" w:rsidRPr="00EA2B31" w:rsidRDefault="002652F8" w:rsidP="002652F8">
      <w:pPr>
        <w:jc w:val="both"/>
        <w:rPr>
          <w:rFonts w:eastAsia="Times New Roman"/>
          <w:color w:val="000000"/>
          <w:sz w:val="14"/>
          <w:szCs w:val="14"/>
          <w:lang w:val="en-US"/>
        </w:rPr>
      </w:pPr>
      <w:r w:rsidRPr="00EA2B31">
        <w:rPr>
          <w:rFonts w:eastAsia="Times New Roman"/>
          <w:color w:val="000000"/>
          <w:sz w:val="14"/>
          <w:szCs w:val="14"/>
        </w:rPr>
        <w:t>(</w:t>
      </w:r>
      <w:hyperlink r:id="rId11" w:history="1">
        <w:r w:rsidRPr="00EA2B31">
          <w:rPr>
            <w:rStyle w:val="Collegamentoipertestuale"/>
            <w:rFonts w:eastAsia="Times New Roman"/>
            <w:sz w:val="14"/>
            <w:szCs w:val="14"/>
          </w:rPr>
          <w:t>www.</w:t>
        </w:r>
        <w:proofErr w:type="spellStart"/>
        <w:r w:rsidRPr="00EA2B31">
          <w:rPr>
            <w:sz w:val="14"/>
            <w:szCs w:val="14"/>
            <w:lang w:val="en-US"/>
          </w:rPr>
          <w:t>unicreditgroup</w:t>
        </w:r>
        <w:proofErr w:type="spellEnd"/>
        <w:r w:rsidRPr="00EA2B31">
          <w:rPr>
            <w:rStyle w:val="Collegamentoipertestuale"/>
            <w:rFonts w:eastAsia="Times New Roman"/>
            <w:sz w:val="14"/>
            <w:szCs w:val="14"/>
          </w:rPr>
          <w:t>.</w:t>
        </w:r>
        <w:proofErr w:type="spellStart"/>
        <w:r w:rsidRPr="00EA2B31">
          <w:rPr>
            <w:rStyle w:val="Collegamentoipertestuale"/>
            <w:rFonts w:eastAsia="Times New Roman"/>
            <w:sz w:val="14"/>
            <w:szCs w:val="14"/>
          </w:rPr>
          <w:t>eu</w:t>
        </w:r>
        <w:proofErr w:type="spellEnd"/>
      </w:hyperlink>
      <w:r w:rsidRPr="00EA2B31">
        <w:rPr>
          <w:rFonts w:eastAsia="Times New Roman"/>
          <w:color w:val="000000"/>
          <w:sz w:val="14"/>
          <w:szCs w:val="14"/>
        </w:rPr>
        <w:t>).</w:t>
      </w:r>
    </w:p>
    <w:p w14:paraId="711E06E2" w14:textId="677378E2" w:rsidR="002652F8" w:rsidRPr="00EA2B31" w:rsidRDefault="002652F8" w:rsidP="00F67642">
      <w:pPr>
        <w:jc w:val="both"/>
        <w:rPr>
          <w:sz w:val="14"/>
          <w:szCs w:val="14"/>
          <w:lang w:val="en-US"/>
        </w:rPr>
      </w:pPr>
    </w:p>
    <w:p w14:paraId="6C5259AF" w14:textId="77777777" w:rsidR="00A008DC" w:rsidRPr="00EA2B31" w:rsidRDefault="00A008DC" w:rsidP="00A008DC">
      <w:pPr>
        <w:pStyle w:val="gmail-p1"/>
        <w:spacing w:before="0" w:beforeAutospacing="0" w:after="0" w:afterAutospacing="0"/>
        <w:jc w:val="both"/>
        <w:rPr>
          <w:rFonts w:ascii="Arial" w:eastAsia="Arial" w:hAnsi="Arial" w:cs="Arial"/>
          <w:b/>
          <w:bCs/>
          <w:sz w:val="14"/>
          <w:szCs w:val="14"/>
          <w:lang w:val="en-US"/>
        </w:rPr>
      </w:pPr>
      <w:r w:rsidRPr="00EA2B31">
        <w:rPr>
          <w:rFonts w:ascii="Arial" w:eastAsia="Arial" w:hAnsi="Arial" w:cs="Arial"/>
          <w:b/>
          <w:bCs/>
          <w:sz w:val="14"/>
          <w:szCs w:val="14"/>
          <w:lang w:val="en-US"/>
        </w:rPr>
        <w:t>Plug and Play</w:t>
      </w:r>
    </w:p>
    <w:p w14:paraId="2E478AE2" w14:textId="77777777" w:rsidR="00A008DC" w:rsidRPr="00EA2B31" w:rsidRDefault="00A008DC" w:rsidP="00A008DC">
      <w:pPr>
        <w:pStyle w:val="gmail-p1"/>
        <w:spacing w:before="0" w:beforeAutospacing="0" w:after="0" w:afterAutospacing="0"/>
        <w:jc w:val="both"/>
        <w:rPr>
          <w:rFonts w:ascii="Arial" w:eastAsia="Arial" w:hAnsi="Arial" w:cs="Arial"/>
          <w:sz w:val="14"/>
          <w:szCs w:val="14"/>
        </w:rPr>
      </w:pPr>
      <w:r w:rsidRPr="00EA2B31">
        <w:rPr>
          <w:rFonts w:ascii="Arial" w:eastAsia="Arial" w:hAnsi="Arial" w:cs="Arial"/>
          <w:sz w:val="14"/>
          <w:szCs w:val="14"/>
        </w:rPr>
        <w:t>Plug and Play è la più grande piattaforma di Open Innovation al mondo: da un lato connette le startup con le principali Corporate, dall’altro investe e favorisce investimenti per aiutare le startup a crescere, il tutto con un approccio globale che facilita l’internazionalizzazione e i rapporti con la Silicon Valley.</w:t>
      </w:r>
    </w:p>
    <w:p w14:paraId="53F154E3" w14:textId="09A7C0C5" w:rsidR="00A008DC" w:rsidRPr="00EA2B31" w:rsidRDefault="00A008DC" w:rsidP="00A008DC">
      <w:pPr>
        <w:jc w:val="both"/>
        <w:rPr>
          <w:sz w:val="14"/>
          <w:szCs w:val="14"/>
          <w:lang w:val="it-IT"/>
        </w:rPr>
      </w:pPr>
      <w:r w:rsidRPr="00EA2B31">
        <w:rPr>
          <w:sz w:val="14"/>
          <w:szCs w:val="14"/>
          <w:lang w:val="it-IT"/>
        </w:rPr>
        <w:t xml:space="preserve">Lanciata nel 2006 nel leggendario Lucky Building in Silicon Valley che ha visto Google, </w:t>
      </w:r>
      <w:proofErr w:type="spellStart"/>
      <w:r w:rsidRPr="00EA2B31">
        <w:rPr>
          <w:sz w:val="14"/>
          <w:szCs w:val="14"/>
          <w:lang w:val="it-IT"/>
        </w:rPr>
        <w:t>Paypal</w:t>
      </w:r>
      <w:proofErr w:type="spellEnd"/>
      <w:r w:rsidRPr="00EA2B31">
        <w:rPr>
          <w:sz w:val="14"/>
          <w:szCs w:val="14"/>
          <w:lang w:val="it-IT"/>
        </w:rPr>
        <w:t xml:space="preserve"> e Dropbox muovere i primi passi, oggi Plug and Play è presente in più di 40 città al mondo e si configura come piattaforma d’innovazione leader con più di 530 Corporate partner, oltre 45.000 startup presenti nel suo database proprietario, ed un valore complessivo di investimenti per oltre 9 miliardi di dollari in realtà quali Dropbox, </w:t>
      </w:r>
      <w:proofErr w:type="spellStart"/>
      <w:r w:rsidRPr="00EA2B31">
        <w:rPr>
          <w:sz w:val="14"/>
          <w:szCs w:val="14"/>
          <w:lang w:val="it-IT"/>
        </w:rPr>
        <w:t>Paypal</w:t>
      </w:r>
      <w:proofErr w:type="spellEnd"/>
      <w:r w:rsidRPr="00EA2B31">
        <w:rPr>
          <w:sz w:val="14"/>
          <w:szCs w:val="14"/>
          <w:lang w:val="it-IT"/>
        </w:rPr>
        <w:t xml:space="preserve">, N26 e </w:t>
      </w:r>
      <w:proofErr w:type="spellStart"/>
      <w:r w:rsidRPr="00EA2B31">
        <w:rPr>
          <w:sz w:val="14"/>
          <w:szCs w:val="14"/>
          <w:lang w:val="it-IT"/>
        </w:rPr>
        <w:t>Hippo</w:t>
      </w:r>
      <w:proofErr w:type="spellEnd"/>
      <w:r w:rsidRPr="00EA2B31">
        <w:rPr>
          <w:sz w:val="14"/>
          <w:szCs w:val="14"/>
          <w:lang w:val="it-IT"/>
        </w:rPr>
        <w:t>. </w:t>
      </w:r>
      <w:r w:rsidRPr="00EA2B31">
        <w:rPr>
          <w:sz w:val="14"/>
          <w:szCs w:val="14"/>
        </w:rPr>
        <w:t xml:space="preserve">Ad </w:t>
      </w:r>
      <w:proofErr w:type="spellStart"/>
      <w:r w:rsidRPr="00EA2B31">
        <w:rPr>
          <w:sz w:val="14"/>
          <w:szCs w:val="14"/>
        </w:rPr>
        <w:t>Aprile</w:t>
      </w:r>
      <w:proofErr w:type="spellEnd"/>
      <w:r w:rsidRPr="00EA2B31">
        <w:rPr>
          <w:sz w:val="14"/>
          <w:szCs w:val="14"/>
        </w:rPr>
        <w:t xml:space="preserve"> 2019 ha </w:t>
      </w:r>
      <w:proofErr w:type="spellStart"/>
      <w:r w:rsidRPr="00EA2B31">
        <w:rPr>
          <w:sz w:val="14"/>
          <w:szCs w:val="14"/>
        </w:rPr>
        <w:t>aperto</w:t>
      </w:r>
      <w:proofErr w:type="spellEnd"/>
      <w:r w:rsidRPr="00EA2B31">
        <w:rPr>
          <w:sz w:val="14"/>
          <w:szCs w:val="14"/>
        </w:rPr>
        <w:t xml:space="preserve"> la </w:t>
      </w:r>
      <w:proofErr w:type="spellStart"/>
      <w:r w:rsidRPr="00EA2B31">
        <w:rPr>
          <w:sz w:val="14"/>
          <w:szCs w:val="14"/>
        </w:rPr>
        <w:t>sua</w:t>
      </w:r>
      <w:proofErr w:type="spellEnd"/>
      <w:r w:rsidRPr="00EA2B31">
        <w:rPr>
          <w:sz w:val="14"/>
          <w:szCs w:val="14"/>
        </w:rPr>
        <w:t xml:space="preserve"> prima </w:t>
      </w:r>
      <w:proofErr w:type="spellStart"/>
      <w:r w:rsidRPr="00EA2B31">
        <w:rPr>
          <w:sz w:val="14"/>
          <w:szCs w:val="14"/>
        </w:rPr>
        <w:t>sede</w:t>
      </w:r>
      <w:proofErr w:type="spellEnd"/>
      <w:r w:rsidRPr="00EA2B31">
        <w:rPr>
          <w:sz w:val="14"/>
          <w:szCs w:val="14"/>
        </w:rPr>
        <w:t xml:space="preserve"> </w:t>
      </w:r>
      <w:proofErr w:type="spellStart"/>
      <w:r w:rsidRPr="00EA2B31">
        <w:rPr>
          <w:sz w:val="14"/>
          <w:szCs w:val="14"/>
        </w:rPr>
        <w:t>italiana</w:t>
      </w:r>
      <w:proofErr w:type="spellEnd"/>
    </w:p>
    <w:sectPr w:rsidR="00A008DC" w:rsidRPr="00EA2B31">
      <w:headerReference w:type="default" r:id="rId12"/>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C10F4" w16cex:dateUtc="2022-03-24T18:56:00Z"/>
  <w16cex:commentExtensible w16cex:durableId="25E5BA77" w16cex:dateUtc="2022-03-23T14:2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FFE52" w14:textId="77777777" w:rsidR="005657FC" w:rsidRDefault="005657FC" w:rsidP="000052E1">
      <w:pPr>
        <w:spacing w:line="240" w:lineRule="auto"/>
      </w:pPr>
      <w:r>
        <w:separator/>
      </w:r>
    </w:p>
  </w:endnote>
  <w:endnote w:type="continuationSeparator" w:id="0">
    <w:p w14:paraId="618A62CC" w14:textId="77777777" w:rsidR="005657FC" w:rsidRDefault="005657FC" w:rsidP="000052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essay">
    <w:altName w:val="Calibri"/>
    <w:charset w:val="00"/>
    <w:family w:val="roman"/>
    <w:pitch w:val="variable"/>
    <w:sig w:usb0="A00000EF" w:usb1="5000205B" w:usb2="0000002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918D6" w14:textId="77777777" w:rsidR="005657FC" w:rsidRDefault="005657FC" w:rsidP="000052E1">
      <w:pPr>
        <w:spacing w:line="240" w:lineRule="auto"/>
      </w:pPr>
      <w:r>
        <w:separator/>
      </w:r>
    </w:p>
  </w:footnote>
  <w:footnote w:type="continuationSeparator" w:id="0">
    <w:p w14:paraId="7AD925DA" w14:textId="77777777" w:rsidR="005657FC" w:rsidRDefault="005657FC" w:rsidP="000052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0AD4" w14:textId="275A7F45" w:rsidR="000052E1" w:rsidRDefault="00E11D30" w:rsidP="00E11D30">
    <w:pPr>
      <w:pStyle w:val="Intestazione"/>
      <w:jc w:val="center"/>
    </w:pPr>
    <w:r>
      <w:rPr>
        <w:noProof/>
      </w:rPr>
      <w:drawing>
        <wp:inline distT="0" distB="0" distL="0" distR="0" wp14:anchorId="4EBA1B60" wp14:editId="58DAB69E">
          <wp:extent cx="6020686" cy="6858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042185" cy="688249"/>
                  </a:xfrm>
                  <a:prstGeom prst="rect">
                    <a:avLst/>
                  </a:prstGeom>
                  <a:noFill/>
                  <a:ln>
                    <a:noFill/>
                  </a:ln>
                </pic:spPr>
              </pic:pic>
            </a:graphicData>
          </a:graphic>
        </wp:inline>
      </w:drawing>
    </w:r>
  </w:p>
  <w:p w14:paraId="563E09D1" w14:textId="2BD8A4C0" w:rsidR="000052E1" w:rsidRDefault="000052E1">
    <w:pPr>
      <w:pStyle w:val="Intestazione"/>
    </w:pPr>
  </w:p>
  <w:p w14:paraId="5B8B029F" w14:textId="599CA383" w:rsidR="007B21A4" w:rsidRDefault="00E11D30" w:rsidP="00E11D30">
    <w:pPr>
      <w:pStyle w:val="Intestazione"/>
      <w:tabs>
        <w:tab w:val="clear" w:pos="4819"/>
        <w:tab w:val="clear" w:pos="9638"/>
        <w:tab w:val="left" w:pos="65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9D"/>
    <w:rsid w:val="000052E1"/>
    <w:rsid w:val="00022BAD"/>
    <w:rsid w:val="000345D4"/>
    <w:rsid w:val="00034FE7"/>
    <w:rsid w:val="00070F99"/>
    <w:rsid w:val="00075038"/>
    <w:rsid w:val="000A7F06"/>
    <w:rsid w:val="000C1851"/>
    <w:rsid w:val="000D22DE"/>
    <w:rsid w:val="000E1DDC"/>
    <w:rsid w:val="000E4049"/>
    <w:rsid w:val="000E44AE"/>
    <w:rsid w:val="00101B88"/>
    <w:rsid w:val="00107753"/>
    <w:rsid w:val="00137BBE"/>
    <w:rsid w:val="00167A81"/>
    <w:rsid w:val="00184DD3"/>
    <w:rsid w:val="00190B55"/>
    <w:rsid w:val="0019398A"/>
    <w:rsid w:val="001949F3"/>
    <w:rsid w:val="001960AD"/>
    <w:rsid w:val="001E458A"/>
    <w:rsid w:val="00211647"/>
    <w:rsid w:val="00254519"/>
    <w:rsid w:val="002652F8"/>
    <w:rsid w:val="002675DD"/>
    <w:rsid w:val="002B341F"/>
    <w:rsid w:val="002B5E67"/>
    <w:rsid w:val="002D3746"/>
    <w:rsid w:val="002D54A5"/>
    <w:rsid w:val="002E2A96"/>
    <w:rsid w:val="0030574B"/>
    <w:rsid w:val="00307EC1"/>
    <w:rsid w:val="00310314"/>
    <w:rsid w:val="003119ED"/>
    <w:rsid w:val="00326EAF"/>
    <w:rsid w:val="003418FE"/>
    <w:rsid w:val="0034775C"/>
    <w:rsid w:val="00363F7E"/>
    <w:rsid w:val="00376B7D"/>
    <w:rsid w:val="0038050F"/>
    <w:rsid w:val="00387262"/>
    <w:rsid w:val="00393809"/>
    <w:rsid w:val="003C4D6D"/>
    <w:rsid w:val="003D4B8D"/>
    <w:rsid w:val="003D57AD"/>
    <w:rsid w:val="00403DED"/>
    <w:rsid w:val="00426906"/>
    <w:rsid w:val="00456615"/>
    <w:rsid w:val="00466EDD"/>
    <w:rsid w:val="004772C7"/>
    <w:rsid w:val="004B1790"/>
    <w:rsid w:val="004E0B10"/>
    <w:rsid w:val="004E1290"/>
    <w:rsid w:val="005123D6"/>
    <w:rsid w:val="00531B97"/>
    <w:rsid w:val="0053225C"/>
    <w:rsid w:val="00545F4B"/>
    <w:rsid w:val="00551B19"/>
    <w:rsid w:val="005657FC"/>
    <w:rsid w:val="00570DBE"/>
    <w:rsid w:val="00576A3A"/>
    <w:rsid w:val="00582056"/>
    <w:rsid w:val="0059260F"/>
    <w:rsid w:val="005D2702"/>
    <w:rsid w:val="005D7A0E"/>
    <w:rsid w:val="005E18F8"/>
    <w:rsid w:val="005E3090"/>
    <w:rsid w:val="005E4CE6"/>
    <w:rsid w:val="005F17FD"/>
    <w:rsid w:val="0061090D"/>
    <w:rsid w:val="006179E3"/>
    <w:rsid w:val="006205F9"/>
    <w:rsid w:val="006226AD"/>
    <w:rsid w:val="006230AE"/>
    <w:rsid w:val="00636D42"/>
    <w:rsid w:val="006454D3"/>
    <w:rsid w:val="00650370"/>
    <w:rsid w:val="0065618D"/>
    <w:rsid w:val="0066465D"/>
    <w:rsid w:val="0067424C"/>
    <w:rsid w:val="00685E1F"/>
    <w:rsid w:val="006A3139"/>
    <w:rsid w:val="006A757B"/>
    <w:rsid w:val="006D55CC"/>
    <w:rsid w:val="006F0F53"/>
    <w:rsid w:val="0070721F"/>
    <w:rsid w:val="007306B0"/>
    <w:rsid w:val="00730D8A"/>
    <w:rsid w:val="00732ED1"/>
    <w:rsid w:val="00751333"/>
    <w:rsid w:val="00756004"/>
    <w:rsid w:val="00794B1D"/>
    <w:rsid w:val="007A0410"/>
    <w:rsid w:val="007B21A4"/>
    <w:rsid w:val="007B5504"/>
    <w:rsid w:val="007C442B"/>
    <w:rsid w:val="007E4DF5"/>
    <w:rsid w:val="007E6AC7"/>
    <w:rsid w:val="00806694"/>
    <w:rsid w:val="00827256"/>
    <w:rsid w:val="008778CA"/>
    <w:rsid w:val="00877C57"/>
    <w:rsid w:val="00880928"/>
    <w:rsid w:val="0089028F"/>
    <w:rsid w:val="008D6F1C"/>
    <w:rsid w:val="00904947"/>
    <w:rsid w:val="00910625"/>
    <w:rsid w:val="009667EC"/>
    <w:rsid w:val="00974A6C"/>
    <w:rsid w:val="009854B6"/>
    <w:rsid w:val="009D09A3"/>
    <w:rsid w:val="009D6D02"/>
    <w:rsid w:val="00A008DC"/>
    <w:rsid w:val="00A117FD"/>
    <w:rsid w:val="00A2301E"/>
    <w:rsid w:val="00A35B9D"/>
    <w:rsid w:val="00A5565E"/>
    <w:rsid w:val="00A66AC7"/>
    <w:rsid w:val="00A748FB"/>
    <w:rsid w:val="00A76B4B"/>
    <w:rsid w:val="00A823EE"/>
    <w:rsid w:val="00A828BE"/>
    <w:rsid w:val="00A9740D"/>
    <w:rsid w:val="00AF0717"/>
    <w:rsid w:val="00B3510B"/>
    <w:rsid w:val="00B3741C"/>
    <w:rsid w:val="00B4043F"/>
    <w:rsid w:val="00B42125"/>
    <w:rsid w:val="00B70682"/>
    <w:rsid w:val="00BC5002"/>
    <w:rsid w:val="00BF29FF"/>
    <w:rsid w:val="00BF355E"/>
    <w:rsid w:val="00C0723B"/>
    <w:rsid w:val="00C10414"/>
    <w:rsid w:val="00C34CDA"/>
    <w:rsid w:val="00C451FF"/>
    <w:rsid w:val="00C460A7"/>
    <w:rsid w:val="00C6685E"/>
    <w:rsid w:val="00C76142"/>
    <w:rsid w:val="00C92943"/>
    <w:rsid w:val="00CD2F8E"/>
    <w:rsid w:val="00CD6AD5"/>
    <w:rsid w:val="00D614AE"/>
    <w:rsid w:val="00D62229"/>
    <w:rsid w:val="00D706AF"/>
    <w:rsid w:val="00DD44F1"/>
    <w:rsid w:val="00DF09AC"/>
    <w:rsid w:val="00E10D89"/>
    <w:rsid w:val="00E11D30"/>
    <w:rsid w:val="00E51A4D"/>
    <w:rsid w:val="00E55EDE"/>
    <w:rsid w:val="00E87A5B"/>
    <w:rsid w:val="00E97B98"/>
    <w:rsid w:val="00EA2B31"/>
    <w:rsid w:val="00EC2928"/>
    <w:rsid w:val="00ED7394"/>
    <w:rsid w:val="00F031D9"/>
    <w:rsid w:val="00F45919"/>
    <w:rsid w:val="00F53273"/>
    <w:rsid w:val="00F561FA"/>
    <w:rsid w:val="00F67642"/>
    <w:rsid w:val="00F720CC"/>
    <w:rsid w:val="00F80A7F"/>
    <w:rsid w:val="00F95E95"/>
    <w:rsid w:val="00FA0230"/>
    <w:rsid w:val="00FC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1E6027"/>
  <w15:docId w15:val="{76E58E4A-C22A-4211-B3A1-6321F2E2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it-IT"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fumetto">
    <w:name w:val="Balloon Text"/>
    <w:basedOn w:val="Normale"/>
    <w:link w:val="TestofumettoCarattere"/>
    <w:uiPriority w:val="99"/>
    <w:semiHidden/>
    <w:unhideWhenUsed/>
    <w:rsid w:val="000052E1"/>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52E1"/>
    <w:rPr>
      <w:rFonts w:ascii="Segoe UI" w:hAnsi="Segoe UI" w:cs="Segoe UI"/>
      <w:sz w:val="18"/>
      <w:szCs w:val="18"/>
    </w:rPr>
  </w:style>
  <w:style w:type="paragraph" w:styleId="Intestazione">
    <w:name w:val="header"/>
    <w:basedOn w:val="Normale"/>
    <w:link w:val="IntestazioneCarattere"/>
    <w:uiPriority w:val="99"/>
    <w:unhideWhenUsed/>
    <w:rsid w:val="000052E1"/>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052E1"/>
  </w:style>
  <w:style w:type="paragraph" w:styleId="Pidipagina">
    <w:name w:val="footer"/>
    <w:basedOn w:val="Normale"/>
    <w:link w:val="PidipaginaCarattere"/>
    <w:uiPriority w:val="99"/>
    <w:unhideWhenUsed/>
    <w:rsid w:val="000052E1"/>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052E1"/>
  </w:style>
  <w:style w:type="character" w:styleId="Rimandocommento">
    <w:name w:val="annotation reference"/>
    <w:basedOn w:val="Carpredefinitoparagrafo"/>
    <w:uiPriority w:val="99"/>
    <w:semiHidden/>
    <w:unhideWhenUsed/>
    <w:rsid w:val="005E18F8"/>
    <w:rPr>
      <w:sz w:val="16"/>
      <w:szCs w:val="16"/>
    </w:rPr>
  </w:style>
  <w:style w:type="paragraph" w:styleId="Testocommento">
    <w:name w:val="annotation text"/>
    <w:basedOn w:val="Normale"/>
    <w:link w:val="TestocommentoCarattere"/>
    <w:uiPriority w:val="99"/>
    <w:semiHidden/>
    <w:unhideWhenUsed/>
    <w:rsid w:val="005E18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E18F8"/>
    <w:rPr>
      <w:sz w:val="20"/>
      <w:szCs w:val="20"/>
    </w:rPr>
  </w:style>
  <w:style w:type="paragraph" w:styleId="Soggettocommento">
    <w:name w:val="annotation subject"/>
    <w:basedOn w:val="Testocommento"/>
    <w:next w:val="Testocommento"/>
    <w:link w:val="SoggettocommentoCarattere"/>
    <w:uiPriority w:val="99"/>
    <w:semiHidden/>
    <w:unhideWhenUsed/>
    <w:rsid w:val="005E18F8"/>
    <w:rPr>
      <w:b/>
      <w:bCs/>
    </w:rPr>
  </w:style>
  <w:style w:type="character" w:customStyle="1" w:styleId="SoggettocommentoCarattere">
    <w:name w:val="Soggetto commento Carattere"/>
    <w:basedOn w:val="TestocommentoCarattere"/>
    <w:link w:val="Soggettocommento"/>
    <w:uiPriority w:val="99"/>
    <w:semiHidden/>
    <w:rsid w:val="005E18F8"/>
    <w:rPr>
      <w:b/>
      <w:bCs/>
      <w:sz w:val="20"/>
      <w:szCs w:val="20"/>
    </w:rPr>
  </w:style>
  <w:style w:type="character" w:styleId="Collegamentoipertestuale">
    <w:name w:val="Hyperlink"/>
    <w:basedOn w:val="Carpredefinitoparagrafo"/>
    <w:uiPriority w:val="99"/>
    <w:semiHidden/>
    <w:unhideWhenUsed/>
    <w:rsid w:val="002652F8"/>
    <w:rPr>
      <w:color w:val="0000FF" w:themeColor="hyperlink"/>
      <w:u w:val="single"/>
    </w:rPr>
  </w:style>
  <w:style w:type="paragraph" w:styleId="NormaleWeb">
    <w:name w:val="Normal (Web)"/>
    <w:basedOn w:val="Normale"/>
    <w:uiPriority w:val="99"/>
    <w:semiHidden/>
    <w:unhideWhenUsed/>
    <w:rsid w:val="002652F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Revisione">
    <w:name w:val="Revision"/>
    <w:hidden/>
    <w:uiPriority w:val="99"/>
    <w:semiHidden/>
    <w:rsid w:val="00F67642"/>
    <w:pPr>
      <w:spacing w:line="240" w:lineRule="auto"/>
    </w:pPr>
  </w:style>
  <w:style w:type="paragraph" w:styleId="Paragrafoelenco">
    <w:name w:val="List Paragraph"/>
    <w:basedOn w:val="Normale"/>
    <w:uiPriority w:val="34"/>
    <w:qFormat/>
    <w:rsid w:val="00326EAF"/>
    <w:pPr>
      <w:spacing w:after="160" w:line="259" w:lineRule="auto"/>
      <w:ind w:left="720"/>
      <w:contextualSpacing/>
    </w:pPr>
    <w:rPr>
      <w:rFonts w:asciiTheme="minorHAnsi" w:eastAsiaTheme="minorHAnsi" w:hAnsiTheme="minorHAnsi" w:cstheme="minorBidi"/>
      <w:lang w:val="it-IT" w:eastAsia="en-US"/>
    </w:rPr>
  </w:style>
  <w:style w:type="character" w:styleId="Enfasicorsivo">
    <w:name w:val="Emphasis"/>
    <w:basedOn w:val="Carpredefinitoparagrafo"/>
    <w:uiPriority w:val="20"/>
    <w:qFormat/>
    <w:rsid w:val="009854B6"/>
    <w:rPr>
      <w:i/>
      <w:iCs/>
    </w:rPr>
  </w:style>
  <w:style w:type="paragraph" w:customStyle="1" w:styleId="gmail-p1">
    <w:name w:val="gmail-p1"/>
    <w:basedOn w:val="Normale"/>
    <w:rsid w:val="00A008DC"/>
    <w:pPr>
      <w:spacing w:before="100" w:beforeAutospacing="1" w:after="100" w:afterAutospacing="1" w:line="240" w:lineRule="auto"/>
    </w:pPr>
    <w:rPr>
      <w:rFonts w:ascii="Calibri" w:eastAsiaTheme="minorHAnsi" w:hAnsi="Calibri" w:cs="Calibri"/>
      <w:lang w:val="it-IT"/>
    </w:rPr>
  </w:style>
  <w:style w:type="paragraph" w:customStyle="1" w:styleId="p1">
    <w:name w:val="p1"/>
    <w:basedOn w:val="Normale"/>
    <w:rsid w:val="00A2301E"/>
    <w:pPr>
      <w:spacing w:before="100" w:beforeAutospacing="1" w:after="100" w:afterAutospacing="1" w:line="240" w:lineRule="auto"/>
    </w:pPr>
    <w:rPr>
      <w:rFonts w:ascii="Calibri" w:eastAsiaTheme="minorHAnsi" w:hAnsi="Calibri" w:cs="Calibri"/>
      <w:lang w:val="it-IT" w:eastAsia="en-US"/>
    </w:rPr>
  </w:style>
  <w:style w:type="character" w:customStyle="1" w:styleId="s1">
    <w:name w:val="s1"/>
    <w:basedOn w:val="Carpredefinitoparagrafo"/>
    <w:rsid w:val="00A2301E"/>
  </w:style>
  <w:style w:type="character" w:customStyle="1" w:styleId="s2">
    <w:name w:val="s2"/>
    <w:basedOn w:val="Carpredefinitoparagrafo"/>
    <w:rsid w:val="00A2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53181">
      <w:bodyDiv w:val="1"/>
      <w:marLeft w:val="0"/>
      <w:marRight w:val="0"/>
      <w:marTop w:val="0"/>
      <w:marBottom w:val="0"/>
      <w:divBdr>
        <w:top w:val="none" w:sz="0" w:space="0" w:color="auto"/>
        <w:left w:val="none" w:sz="0" w:space="0" w:color="auto"/>
        <w:bottom w:val="none" w:sz="0" w:space="0" w:color="auto"/>
        <w:right w:val="none" w:sz="0" w:space="0" w:color="auto"/>
      </w:divBdr>
    </w:div>
    <w:div w:id="577634823">
      <w:bodyDiv w:val="1"/>
      <w:marLeft w:val="0"/>
      <w:marRight w:val="0"/>
      <w:marTop w:val="0"/>
      <w:marBottom w:val="0"/>
      <w:divBdr>
        <w:top w:val="none" w:sz="0" w:space="0" w:color="auto"/>
        <w:left w:val="none" w:sz="0" w:space="0" w:color="auto"/>
        <w:bottom w:val="none" w:sz="0" w:space="0" w:color="auto"/>
        <w:right w:val="none" w:sz="0" w:space="0" w:color="auto"/>
      </w:divBdr>
    </w:div>
    <w:div w:id="805317228">
      <w:bodyDiv w:val="1"/>
      <w:marLeft w:val="0"/>
      <w:marRight w:val="0"/>
      <w:marTop w:val="0"/>
      <w:marBottom w:val="0"/>
      <w:divBdr>
        <w:top w:val="none" w:sz="0" w:space="0" w:color="auto"/>
        <w:left w:val="none" w:sz="0" w:space="0" w:color="auto"/>
        <w:bottom w:val="none" w:sz="0" w:space="0" w:color="auto"/>
        <w:right w:val="none" w:sz="0" w:space="0" w:color="auto"/>
      </w:divBdr>
    </w:div>
    <w:div w:id="1148087476">
      <w:bodyDiv w:val="1"/>
      <w:marLeft w:val="0"/>
      <w:marRight w:val="0"/>
      <w:marTop w:val="0"/>
      <w:marBottom w:val="0"/>
      <w:divBdr>
        <w:top w:val="none" w:sz="0" w:space="0" w:color="auto"/>
        <w:left w:val="none" w:sz="0" w:space="0" w:color="auto"/>
        <w:bottom w:val="none" w:sz="0" w:space="0" w:color="auto"/>
        <w:right w:val="none" w:sz="0" w:space="0" w:color="auto"/>
      </w:divBdr>
    </w:div>
    <w:div w:id="1203204491">
      <w:bodyDiv w:val="1"/>
      <w:marLeft w:val="0"/>
      <w:marRight w:val="0"/>
      <w:marTop w:val="0"/>
      <w:marBottom w:val="0"/>
      <w:divBdr>
        <w:top w:val="none" w:sz="0" w:space="0" w:color="auto"/>
        <w:left w:val="none" w:sz="0" w:space="0" w:color="auto"/>
        <w:bottom w:val="none" w:sz="0" w:space="0" w:color="auto"/>
        <w:right w:val="none" w:sz="0" w:space="0" w:color="auto"/>
      </w:divBdr>
    </w:div>
    <w:div w:id="1318530067">
      <w:bodyDiv w:val="1"/>
      <w:marLeft w:val="0"/>
      <w:marRight w:val="0"/>
      <w:marTop w:val="0"/>
      <w:marBottom w:val="0"/>
      <w:divBdr>
        <w:top w:val="none" w:sz="0" w:space="0" w:color="auto"/>
        <w:left w:val="none" w:sz="0" w:space="0" w:color="auto"/>
        <w:bottom w:val="none" w:sz="0" w:space="0" w:color="auto"/>
        <w:right w:val="none" w:sz="0" w:space="0" w:color="auto"/>
      </w:divBdr>
    </w:div>
    <w:div w:id="1325471284">
      <w:bodyDiv w:val="1"/>
      <w:marLeft w:val="0"/>
      <w:marRight w:val="0"/>
      <w:marTop w:val="0"/>
      <w:marBottom w:val="0"/>
      <w:divBdr>
        <w:top w:val="none" w:sz="0" w:space="0" w:color="auto"/>
        <w:left w:val="none" w:sz="0" w:space="0" w:color="auto"/>
        <w:bottom w:val="none" w:sz="0" w:space="0" w:color="auto"/>
        <w:right w:val="none" w:sz="0" w:space="0" w:color="auto"/>
      </w:divBdr>
    </w:div>
    <w:div w:id="19596827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creditgroup.eu" TargetMode="External"/><Relationship Id="rId24" Type="http://schemas.microsoft.com/office/2018/08/relationships/commentsExtensible" Target="commentsExtensible.xml"/><Relationship Id="rId5" Type="http://schemas.openxmlformats.org/officeDocument/2006/relationships/styles" Target="styles.xml"/><Relationship Id="rId10" Type="http://schemas.openxmlformats.org/officeDocument/2006/relationships/hyperlink" Target="http://www.xyz.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284127791159a589c5a40e432f43ecc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F5B523494B90E4A828724C9DA730F45" ma:contentTypeVersion="14" ma:contentTypeDescription="Creare un nuovo documento." ma:contentTypeScope="" ma:versionID="6119931397af020cc27c26e5a85b08f8">
  <xsd:schema xmlns:xsd="http://www.w3.org/2001/XMLSchema" xmlns:xs="http://www.w3.org/2001/XMLSchema" xmlns:p="http://schemas.microsoft.com/office/2006/metadata/properties" xmlns:ns3="b1bcdd07-e8b8-4e94-a986-705d4a64d6ee" xmlns:ns4="3330f181-3111-40b8-b30a-d5c36eb7fd41" targetNamespace="http://schemas.microsoft.com/office/2006/metadata/properties" ma:root="true" ma:fieldsID="40e94eb8e0bcee1326d9b564992186c8" ns3:_="" ns4:_="">
    <xsd:import namespace="b1bcdd07-e8b8-4e94-a986-705d4a64d6ee"/>
    <xsd:import namespace="3330f181-3111-40b8-b30a-d5c36eb7fd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cdd07-e8b8-4e94-a986-705d4a64d6ee"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30f181-3111-40b8-b30a-d5c36eb7fd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2E694-0E07-4F46-BB71-905B12C00644}">
  <ds:schemaRefs>
    <ds:schemaRef ds:uri="http://purl.org/dc/terms/"/>
    <ds:schemaRef ds:uri="http://schemas.openxmlformats.org/package/2006/metadata/core-properties"/>
    <ds:schemaRef ds:uri="http://purl.org/dc/dcmitype/"/>
    <ds:schemaRef ds:uri="http://schemas.microsoft.com/office/infopath/2007/PartnerControls"/>
    <ds:schemaRef ds:uri="3330f181-3111-40b8-b30a-d5c36eb7fd41"/>
    <ds:schemaRef ds:uri="http://schemas.microsoft.com/office/2006/documentManagement/types"/>
    <ds:schemaRef ds:uri="http://schemas.microsoft.com/office/2006/metadata/properties"/>
    <ds:schemaRef ds:uri="b1bcdd07-e8b8-4e94-a986-705d4a64d6ee"/>
    <ds:schemaRef ds:uri="http://www.w3.org/XML/1998/namespace"/>
    <ds:schemaRef ds:uri="http://purl.org/dc/elements/1.1/"/>
  </ds:schemaRefs>
</ds:datastoreItem>
</file>

<file path=customXml/itemProps2.xml><?xml version="1.0" encoding="utf-8"?>
<ds:datastoreItem xmlns:ds="http://schemas.openxmlformats.org/officeDocument/2006/customXml" ds:itemID="{4114710A-FD5A-4D4D-B6D7-9D5C00148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cdd07-e8b8-4e94-a986-705d4a64d6ee"/>
    <ds:schemaRef ds:uri="3330f181-3111-40b8-b30a-d5c36eb7f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2C2C4-5059-4254-BDC3-9E0AC6D3C085}">
  <ds:schemaRefs>
    <ds:schemaRef ds:uri="http://schemas.microsoft.com/sharepoint/v3/contenttype/forms"/>
  </ds:schemaRefs>
</ds:datastoreItem>
</file>

<file path=customXml/itemProps4.xml><?xml version="1.0" encoding="utf-8"?>
<ds:datastoreItem xmlns:ds="http://schemas.openxmlformats.org/officeDocument/2006/customXml" ds:itemID="{9174FC0C-88F2-40E3-A9F0-0BFE6CE3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8918</Characters>
  <Application>Microsoft Office Word</Application>
  <DocSecurity>0</DocSecurity>
  <Lines>74</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LORENZO BERNERI</dc:creator>
  <cp:lastModifiedBy>Alessandra Acutis</cp:lastModifiedBy>
  <cp:revision>2</cp:revision>
  <cp:lastPrinted>2022-04-21T12:52:00Z</cp:lastPrinted>
  <dcterms:created xsi:type="dcterms:W3CDTF">2022-04-26T14:25:00Z</dcterms:created>
  <dcterms:modified xsi:type="dcterms:W3CDTF">2022-04-26T14:25:00Z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2022-03-23T14:21:25Z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2135e762-860a-4499-8312-80faac578fbf</vt:lpwstr>
  </property>
  <property fmtid="{D5CDD505-2E9C-101B-9397-08002B2CF9AE}" pid="8" name="MSIP_Label_29db9e61-aac5-4f6e-805d-ceb8cb9983a1_ContentBits">
    <vt:lpwstr>0</vt:lpwstr>
  </property>
  <property fmtid="{D5CDD505-2E9C-101B-9397-08002B2CF9AE}" pid="9" name="ContentTypeId">
    <vt:lpwstr>0x0101002F5B523494B90E4A828724C9DA730F45</vt:lpwstr>
  </property>
  <property fmtid="{D5CDD505-2E9C-101B-9397-08002B2CF9AE}" pid="10" name="MSIP_Label_ee255aed-7de2-497a-9b96-4de850d7aec7_Enabled">
    <vt:lpwstr>true</vt:lpwstr>
  </property>
  <property fmtid="{D5CDD505-2E9C-101B-9397-08002B2CF9AE}" pid="11" name="MSIP_Label_ee255aed-7de2-497a-9b96-4de850d7aec7_SetDate">
    <vt:lpwstr>2022-04-21T08:30:57Z</vt:lpwstr>
  </property>
  <property fmtid="{D5CDD505-2E9C-101B-9397-08002B2CF9AE}" pid="12" name="MSIP_Label_ee255aed-7de2-497a-9b96-4de850d7aec7_Method">
    <vt:lpwstr>Privileged</vt:lpwstr>
  </property>
  <property fmtid="{D5CDD505-2E9C-101B-9397-08002B2CF9AE}" pid="13" name="MSIP_Label_ee255aed-7de2-497a-9b96-4de850d7aec7_Name">
    <vt:lpwstr>ee255aed-7de2-497a-9b96-4de850d7aec7</vt:lpwstr>
  </property>
  <property fmtid="{D5CDD505-2E9C-101B-9397-08002B2CF9AE}" pid="14" name="MSIP_Label_ee255aed-7de2-497a-9b96-4de850d7aec7_SiteId">
    <vt:lpwstr>8c4b47b5-ea35-4370-817f-95066d4f8467</vt:lpwstr>
  </property>
  <property fmtid="{D5CDD505-2E9C-101B-9397-08002B2CF9AE}" pid="15" name="MSIP_Label_ee255aed-7de2-497a-9b96-4de850d7aec7_ActionId">
    <vt:lpwstr>14afc052-e9d9-41c2-ba0c-430387ee6eeb</vt:lpwstr>
  </property>
  <property fmtid="{D5CDD505-2E9C-101B-9397-08002B2CF9AE}" pid="16" name="MSIP_Label_ee255aed-7de2-497a-9b96-4de850d7aec7_ContentBits">
    <vt:lpwstr>2</vt:lpwstr>
  </property>
</Properties>
</file>